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jc w:val="center"/>
        <w:rPr>
          <w:rFonts w:ascii="宋体" w:hAnsi="宋体" w:eastAsia="宋体" w:cs="宋体"/>
          <w:b/>
          <w:bCs/>
          <w:kern w:val="0"/>
          <w:sz w:val="28"/>
          <w:szCs w:val="28"/>
        </w:rPr>
      </w:pPr>
      <w:bookmarkStart w:id="0" w:name="_GoBack"/>
      <w:bookmarkEnd w:id="0"/>
      <w:r>
        <w:rPr>
          <w:rFonts w:hint="eastAsia" w:ascii="宋体" w:hAnsi="宋体" w:eastAsia="宋体" w:cs="宋体"/>
          <w:b/>
          <w:bCs/>
          <w:kern w:val="0"/>
          <w:sz w:val="28"/>
          <w:szCs w:val="28"/>
        </w:rPr>
        <w:t>上海农商银行</w:t>
      </w:r>
    </w:p>
    <w:p>
      <w:pPr>
        <w:widowControl/>
        <w:shd w:val="clear" w:color="auto" w:fill="FFFFFF"/>
        <w:jc w:val="center"/>
        <w:rPr>
          <w:rFonts w:ascii="宋体" w:hAnsi="宋体" w:eastAsia="宋体" w:cs="宋体"/>
          <w:b/>
          <w:bCs/>
          <w:kern w:val="0"/>
          <w:sz w:val="28"/>
          <w:szCs w:val="28"/>
        </w:rPr>
      </w:pPr>
      <w:r>
        <w:rPr>
          <w:rFonts w:hint="eastAsia" w:ascii="宋体" w:hAnsi="宋体" w:eastAsia="宋体" w:cs="宋体"/>
          <w:b/>
          <w:bCs/>
          <w:kern w:val="0"/>
          <w:sz w:val="28"/>
          <w:szCs w:val="28"/>
        </w:rPr>
        <w:t>投标保证金缴纳和退还操作须知</w:t>
      </w:r>
    </w:p>
    <w:p>
      <w:pPr>
        <w:widowControl/>
        <w:shd w:val="clear" w:color="auto" w:fill="FFFFFF"/>
        <w:jc w:val="center"/>
        <w:rPr>
          <w:rFonts w:ascii="宋体" w:hAnsi="宋体" w:eastAsia="宋体" w:cs="宋体"/>
          <w:b/>
          <w:bCs/>
          <w:kern w:val="0"/>
          <w:sz w:val="28"/>
          <w:szCs w:val="28"/>
        </w:rPr>
      </w:pPr>
    </w:p>
    <w:p>
      <w:pPr>
        <w:widowControl/>
        <w:shd w:val="clear" w:color="auto" w:fill="FFFFFF"/>
        <w:spacing w:line="400" w:lineRule="exact"/>
        <w:jc w:val="left"/>
        <w:outlineLvl w:val="1"/>
        <w:rPr>
          <w:rFonts w:ascii="华文仿宋" w:hAnsi="华文仿宋" w:eastAsia="华文仿宋" w:cs="宋体"/>
          <w:b/>
          <w:kern w:val="0"/>
          <w:sz w:val="24"/>
          <w:szCs w:val="24"/>
        </w:rPr>
      </w:pPr>
      <w:r>
        <w:rPr>
          <w:rFonts w:hint="eastAsia" w:ascii="华文仿宋" w:hAnsi="华文仿宋" w:eastAsia="华文仿宋" w:cs="宋体"/>
          <w:b/>
          <w:kern w:val="0"/>
          <w:sz w:val="24"/>
          <w:szCs w:val="24"/>
        </w:rPr>
        <w:t>1. 接收投标保证金的银行账户信息</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1.1 开户银行：上海农商银行营业部</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1.2 户名：上海农村商业银行股份有限公司</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1.3 账号：50131000723476666</w:t>
      </w:r>
    </w:p>
    <w:p>
      <w:pPr>
        <w:widowControl/>
        <w:shd w:val="clear" w:color="auto" w:fill="FFFFFF"/>
        <w:adjustRightInd w:val="0"/>
        <w:snapToGrid w:val="0"/>
        <w:spacing w:line="480" w:lineRule="exact"/>
        <w:jc w:val="left"/>
        <w:outlineLvl w:val="1"/>
        <w:rPr>
          <w:rFonts w:ascii="华文仿宋" w:hAnsi="华文仿宋" w:eastAsia="华文仿宋" w:cs="宋体"/>
          <w:b/>
          <w:kern w:val="0"/>
          <w:sz w:val="24"/>
          <w:szCs w:val="24"/>
        </w:rPr>
      </w:pPr>
      <w:r>
        <w:rPr>
          <w:rFonts w:hint="eastAsia" w:ascii="华文仿宋" w:hAnsi="华文仿宋" w:eastAsia="华文仿宋" w:cs="宋体"/>
          <w:b/>
          <w:kern w:val="0"/>
          <w:sz w:val="24"/>
          <w:szCs w:val="24"/>
        </w:rPr>
        <w:t>2. 上海农商银行营业部地址及营业时间</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2.1 地址：上海市黄浦区中山东二路70号</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2.2 时间：每个法定工作日的正常工作时间（北京时间9:00时～16:30时）</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2.3 服务电话：021-61899923。</w:t>
      </w:r>
    </w:p>
    <w:p>
      <w:pPr>
        <w:widowControl/>
        <w:shd w:val="clear" w:color="auto" w:fill="FFFFFF"/>
        <w:adjustRightInd w:val="0"/>
        <w:snapToGrid w:val="0"/>
        <w:spacing w:line="480" w:lineRule="exact"/>
        <w:jc w:val="left"/>
        <w:outlineLvl w:val="1"/>
        <w:rPr>
          <w:rFonts w:ascii="华文仿宋" w:hAnsi="华文仿宋" w:eastAsia="华文仿宋" w:cs="宋体"/>
          <w:b/>
          <w:kern w:val="0"/>
          <w:sz w:val="24"/>
          <w:szCs w:val="24"/>
        </w:rPr>
      </w:pPr>
      <w:r>
        <w:rPr>
          <w:rFonts w:hint="eastAsia" w:ascii="华文仿宋" w:hAnsi="华文仿宋" w:eastAsia="华文仿宋" w:cs="宋体"/>
          <w:b/>
          <w:kern w:val="0"/>
          <w:sz w:val="24"/>
          <w:szCs w:val="24"/>
        </w:rPr>
        <w:t>3. 投标保证金的缴纳</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3.1 投标人应采用网上支付、贷记凭证、电汇等各种银行转账方式向本须知第1条指定的账户缴纳投标保证金。</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3.2 投标人在汇款附言中请</w:t>
      </w:r>
      <w:r>
        <w:rPr>
          <w:rFonts w:hint="eastAsia" w:ascii="华文仿宋" w:hAnsi="华文仿宋" w:eastAsia="华文仿宋" w:cs="宋体"/>
          <w:b/>
          <w:bCs/>
          <w:kern w:val="0"/>
          <w:sz w:val="24"/>
          <w:szCs w:val="24"/>
        </w:rPr>
        <w:t>务必且只能按照如下方式</w:t>
      </w:r>
      <w:r>
        <w:rPr>
          <w:rFonts w:hint="eastAsia" w:ascii="华文仿宋" w:hAnsi="华文仿宋" w:eastAsia="华文仿宋" w:cs="宋体"/>
          <w:kern w:val="0"/>
          <w:sz w:val="24"/>
          <w:szCs w:val="24"/>
        </w:rPr>
        <w:t>注明保证金缴纳信息：</w:t>
      </w:r>
    </w:p>
    <w:p>
      <w:pPr>
        <w:widowControl/>
        <w:shd w:val="clear" w:color="auto" w:fill="FFFFFF"/>
        <w:adjustRightInd w:val="0"/>
        <w:snapToGrid w:val="0"/>
        <w:spacing w:line="480" w:lineRule="exact"/>
        <w:ind w:firstLine="480" w:firstLineChars="200"/>
        <w:jc w:val="center"/>
        <w:outlineLvl w:val="1"/>
        <w:rPr>
          <w:rFonts w:ascii="华文仿宋" w:hAnsi="华文仿宋" w:eastAsia="华文仿宋" w:cs="宋体"/>
          <w:b/>
          <w:kern w:val="0"/>
          <w:sz w:val="24"/>
          <w:szCs w:val="24"/>
        </w:rPr>
      </w:pPr>
      <w:r>
        <w:rPr>
          <w:rFonts w:hint="eastAsia" w:ascii="华文仿宋" w:hAnsi="华文仿宋" w:eastAsia="华文仿宋" w:cs="宋体"/>
          <w:b/>
          <w:kern w:val="0"/>
          <w:sz w:val="24"/>
          <w:szCs w:val="24"/>
        </w:rPr>
        <w:t>项目编号*项目包件或标段号</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bCs/>
          <w:kern w:val="0"/>
          <w:sz w:val="24"/>
          <w:szCs w:val="24"/>
        </w:rPr>
      </w:pPr>
      <w:r>
        <w:rPr>
          <w:rFonts w:hint="eastAsia" w:ascii="华文仿宋" w:hAnsi="华文仿宋" w:eastAsia="华文仿宋" w:cs="宋体"/>
          <w:bCs/>
          <w:kern w:val="0"/>
          <w:sz w:val="24"/>
          <w:szCs w:val="24"/>
        </w:rPr>
        <w:t>具体要求：</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bCs/>
          <w:kern w:val="0"/>
          <w:sz w:val="24"/>
          <w:szCs w:val="24"/>
        </w:rPr>
      </w:pPr>
      <w:r>
        <w:rPr>
          <w:rFonts w:hint="eastAsia" w:ascii="华文仿宋" w:hAnsi="华文仿宋" w:eastAsia="华文仿宋" w:cs="宋体"/>
          <w:bCs/>
          <w:kern w:val="0"/>
          <w:sz w:val="24"/>
          <w:szCs w:val="24"/>
        </w:rPr>
        <w:t>1）附言中所有文字及符号均为半角符号；</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bCs/>
          <w:kern w:val="0"/>
          <w:sz w:val="24"/>
          <w:szCs w:val="24"/>
        </w:rPr>
        <w:t>2）项目编号、项目包件号或标段号在我行招标公告中告知，例如，招标公告中项目编号为“123456”，项目包件号为“0001”，则在缴纳招标保证金的汇款附言中填写且仅能填写“123456*0001”，</w:t>
      </w:r>
      <w:r>
        <w:rPr>
          <w:rFonts w:hint="eastAsia" w:ascii="华文仿宋" w:hAnsi="华文仿宋" w:eastAsia="华文仿宋" w:cs="宋体"/>
          <w:b/>
          <w:bCs/>
          <w:kern w:val="0"/>
          <w:sz w:val="24"/>
          <w:szCs w:val="24"/>
        </w:rPr>
        <w:t>注意不包括双引号</w:t>
      </w:r>
      <w:r>
        <w:rPr>
          <w:rFonts w:hint="eastAsia" w:ascii="华文仿宋" w:hAnsi="华文仿宋" w:eastAsia="华文仿宋" w:cs="宋体"/>
          <w:kern w:val="0"/>
          <w:sz w:val="24"/>
          <w:szCs w:val="24"/>
        </w:rPr>
        <w:t>；</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3）无包件或标段号时只需注明项目编号，如招标公告中项目编号为“123456”，没有告知</w:t>
      </w:r>
      <w:r>
        <w:rPr>
          <w:rFonts w:hint="eastAsia" w:ascii="华文仿宋" w:hAnsi="华文仿宋" w:eastAsia="华文仿宋" w:cs="宋体"/>
          <w:bCs/>
          <w:kern w:val="0"/>
          <w:sz w:val="24"/>
          <w:szCs w:val="24"/>
        </w:rPr>
        <w:t>项目包件号或标段号，则在缴纳招标保证金的汇款附言中填写且仅能填写“123456”，</w:t>
      </w:r>
      <w:r>
        <w:rPr>
          <w:rFonts w:hint="eastAsia" w:ascii="华文仿宋" w:hAnsi="华文仿宋" w:eastAsia="华文仿宋" w:cs="宋体"/>
          <w:b/>
          <w:bCs/>
          <w:kern w:val="0"/>
          <w:sz w:val="24"/>
          <w:szCs w:val="24"/>
        </w:rPr>
        <w:t>注意不包括双引号</w:t>
      </w:r>
      <w:r>
        <w:rPr>
          <w:rFonts w:hint="eastAsia" w:ascii="华文仿宋" w:hAnsi="华文仿宋" w:eastAsia="华文仿宋" w:cs="宋体"/>
          <w:kern w:val="0"/>
          <w:sz w:val="24"/>
          <w:szCs w:val="24"/>
        </w:rPr>
        <w:t>；</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4）汇款附言中不应包含本须知未要求的其他文字或字符。</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3.3未按照本须知3.2要求办理汇款且已经汇至本须知第1条指定的账户的款项，为无效投标保证金，即所汇款项不能作为投标保证金使用。</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3.4 投标保证金汇款人名称应与投标人名称应完全一致，即名称字数相同、名称文字相同。若名称中间夹杂空格、名称中分别使用了相同含义的繁体及简体（如“国”和“國”），都会导致所汇款项成为无效投标保证金。</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3.5投标人应按照项目包件或标段逐笔缴纳保证金，单一项目包件或标段投标保证金不得分拆多笔缴纳，多个项目包件或标段投标保证金不得合并一笔缴纳。</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3.6 投标人应在招标文件规定有效期限内缴纳投标保证金，过期转账则视为自动放弃投标。</w:t>
      </w:r>
    </w:p>
    <w:p>
      <w:pPr>
        <w:widowControl/>
        <w:shd w:val="clear" w:color="auto" w:fill="FFFFFF"/>
        <w:adjustRightInd w:val="0"/>
        <w:snapToGrid w:val="0"/>
        <w:spacing w:line="480" w:lineRule="exact"/>
        <w:ind w:firstLine="480" w:firstLineChars="200"/>
        <w:jc w:val="left"/>
        <w:outlineLvl w:val="1"/>
      </w:pPr>
      <w:r>
        <w:rPr>
          <w:rFonts w:hint="eastAsia" w:ascii="华文仿宋" w:hAnsi="华文仿宋" w:eastAsia="华文仿宋" w:cs="宋体"/>
          <w:kern w:val="0"/>
          <w:sz w:val="24"/>
          <w:szCs w:val="24"/>
        </w:rPr>
        <w:t>3.</w:t>
      </w:r>
      <w:r>
        <w:rPr>
          <w:rFonts w:hint="eastAsia" w:ascii="华文仿宋" w:hAnsi="华文仿宋" w:eastAsia="华文仿宋" w:cs="宋体"/>
          <w:kern w:val="0"/>
          <w:sz w:val="24"/>
          <w:szCs w:val="24"/>
          <w:lang w:val="en-US" w:eastAsia="zh-CN"/>
        </w:rPr>
        <w:t>7</w:t>
      </w:r>
      <w:r>
        <w:rPr>
          <w:rFonts w:hint="eastAsia" w:ascii="华文仿宋" w:hAnsi="华文仿宋" w:eastAsia="华文仿宋" w:cs="宋体"/>
          <w:kern w:val="0"/>
          <w:sz w:val="24"/>
          <w:szCs w:val="24"/>
        </w:rPr>
        <w:t>当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偏离表”中明确申明，否则视为接受。</w:t>
      </w:r>
    </w:p>
    <w:p>
      <w:pPr>
        <w:widowControl/>
        <w:shd w:val="clear" w:color="auto" w:fill="FFFFFF"/>
        <w:adjustRightInd w:val="0"/>
        <w:snapToGrid w:val="0"/>
        <w:spacing w:line="480" w:lineRule="exact"/>
        <w:ind w:firstLine="480" w:firstLineChars="200"/>
        <w:jc w:val="left"/>
        <w:outlineLvl w:val="1"/>
      </w:pPr>
      <w:r>
        <w:rPr>
          <w:rFonts w:hint="eastAsia" w:ascii="华文仿宋" w:hAnsi="华文仿宋" w:eastAsia="华文仿宋" w:cs="宋体"/>
          <w:kern w:val="0"/>
          <w:sz w:val="24"/>
          <w:szCs w:val="24"/>
        </w:rPr>
        <w:t>3.</w:t>
      </w:r>
      <w:r>
        <w:rPr>
          <w:rFonts w:hint="eastAsia" w:ascii="华文仿宋" w:hAnsi="华文仿宋" w:eastAsia="华文仿宋" w:cs="宋体"/>
          <w:kern w:val="0"/>
          <w:sz w:val="24"/>
          <w:szCs w:val="24"/>
          <w:lang w:val="en-US" w:eastAsia="zh-CN"/>
        </w:rPr>
        <w:t>8</w:t>
      </w:r>
      <w:r>
        <w:rPr>
          <w:rFonts w:hint="eastAsia" w:ascii="华文仿宋" w:hAnsi="华文仿宋" w:eastAsia="华文仿宋" w:cs="宋体"/>
          <w:kern w:val="0"/>
          <w:sz w:val="24"/>
          <w:szCs w:val="24"/>
        </w:rPr>
        <w:t>如投标人未具体注明其所参与各包件或标段，且合计的保证金金额又不足时，评标委员会将按其所参与全部包件或标段的采购保证金均不符合要求来处理。</w:t>
      </w:r>
    </w:p>
    <w:p>
      <w:pPr>
        <w:widowControl/>
        <w:shd w:val="clear" w:color="auto" w:fill="FFFFFF"/>
        <w:adjustRightInd w:val="0"/>
        <w:snapToGrid w:val="0"/>
        <w:spacing w:line="480" w:lineRule="exact"/>
        <w:jc w:val="left"/>
        <w:outlineLvl w:val="1"/>
        <w:rPr>
          <w:rFonts w:ascii="华文仿宋" w:hAnsi="华文仿宋" w:eastAsia="华文仿宋" w:cs="宋体"/>
          <w:b/>
          <w:kern w:val="0"/>
          <w:sz w:val="24"/>
          <w:szCs w:val="24"/>
        </w:rPr>
      </w:pPr>
      <w:r>
        <w:rPr>
          <w:rFonts w:hint="eastAsia" w:ascii="华文仿宋" w:hAnsi="华文仿宋" w:eastAsia="华文仿宋" w:cs="宋体"/>
          <w:b/>
          <w:kern w:val="0"/>
          <w:sz w:val="24"/>
          <w:szCs w:val="24"/>
        </w:rPr>
        <w:t>4. 投标保证金的退还</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 xml:space="preserve">4.1 </w:t>
      </w:r>
      <w:r>
        <w:rPr>
          <w:rFonts w:hint="eastAsia" w:ascii="华文仿宋" w:hAnsi="华文仿宋" w:eastAsia="华文仿宋" w:cs="宋体"/>
          <w:b/>
          <w:kern w:val="0"/>
          <w:sz w:val="24"/>
          <w:szCs w:val="24"/>
        </w:rPr>
        <w:t>中标的情况</w:t>
      </w:r>
      <w:r>
        <w:rPr>
          <w:rFonts w:hint="eastAsia" w:ascii="华文仿宋" w:hAnsi="华文仿宋" w:eastAsia="华文仿宋" w:cs="宋体"/>
          <w:kern w:val="0"/>
          <w:sz w:val="24"/>
          <w:szCs w:val="24"/>
        </w:rPr>
        <w:t>：我行收到与中标人签署的合同原件后5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4.2</w:t>
      </w:r>
      <w:r>
        <w:rPr>
          <w:rFonts w:hint="eastAsia" w:ascii="华文仿宋" w:hAnsi="华文仿宋" w:eastAsia="华文仿宋" w:cs="宋体"/>
          <w:b/>
          <w:kern w:val="0"/>
          <w:sz w:val="24"/>
          <w:szCs w:val="24"/>
        </w:rPr>
        <w:t xml:space="preserve"> 未中标的情况</w:t>
      </w:r>
      <w:r>
        <w:rPr>
          <w:rFonts w:hint="eastAsia" w:ascii="华文仿宋" w:hAnsi="华文仿宋" w:eastAsia="华文仿宋" w:cs="宋体"/>
          <w:kern w:val="0"/>
          <w:sz w:val="24"/>
          <w:szCs w:val="24"/>
        </w:rPr>
        <w:t>：在评标结果按有关规定公示结束后，我行将向未中标人发出“中标结果通知书”，并于“中标结果通知书”发出后5个工作日内原路退还招标保证金。</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4.3无效投标保证金退还：投标人通过电子邮件联系招标文件中列明的项目负责人，说明汇款人、汇款银行网点、汇款时间、收款人、汇款金额、附言内容等情况，并附转账单据扫描件或转账结果屏幕截屏等退款支持性文件，经我行确认后5个工作日内原路退还已缴纳款项。</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4.4 在退还投标保证金时，我行将按中国人民银行公布的现行人民币活期存款利率及实际存款天数向投标人支付投标保证金利息。</w:t>
      </w:r>
    </w:p>
    <w:p>
      <w:pPr>
        <w:widowControl/>
        <w:shd w:val="clear" w:color="auto" w:fill="FFFFFF"/>
        <w:adjustRightInd w:val="0"/>
        <w:snapToGrid w:val="0"/>
        <w:spacing w:line="480" w:lineRule="exact"/>
        <w:jc w:val="left"/>
        <w:outlineLvl w:val="1"/>
        <w:rPr>
          <w:rFonts w:ascii="华文仿宋" w:hAnsi="华文仿宋" w:eastAsia="华文仿宋" w:cs="宋体"/>
          <w:b/>
          <w:kern w:val="0"/>
          <w:sz w:val="24"/>
          <w:szCs w:val="24"/>
        </w:rPr>
      </w:pPr>
      <w:r>
        <w:rPr>
          <w:rFonts w:hint="eastAsia" w:ascii="华文仿宋" w:hAnsi="华文仿宋" w:eastAsia="华文仿宋" w:cs="宋体"/>
          <w:b/>
          <w:kern w:val="0"/>
          <w:sz w:val="24"/>
          <w:szCs w:val="24"/>
        </w:rPr>
        <w:t>5. 其他</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5.1 因不可抗力等原因导致投标保证金未及时到账而导致无效投标，我行不承担任何责任。</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5.2 因投标人未足额缴纳保证金或者未按照本须知要求缴纳投标保证金（如汇款备注填写错误）而导致无效投标，我行不承担任何责任。</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5.3 正常情况下，投标保证金缴纳和退还无需到柜台办理。如发生所汇款项未能到账、未能按时退还、附言错误等异常情况，请第一时间致电服务电话寻求帮助或者处理。</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5.4 有下列情形之一的，我行有权没收全部或部分投标保证金：</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1）投标人在标书中规定的投标有效期内撤回其投标；</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2）投标联合体中任一联合体成员在投标有效期内申明退出联合体；</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3）投标人（含投标联合体成员）在中标后不与我行签订合同；</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4）投标人（含投标联合体成员）中标后不按招标文件的规定缴纳履约保证金；</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5）投标人（含投标联合体成员）不按招标文件的规定支付招标服务费；</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6）投标人因违反法律法规或未按照招标文件要求导致流标；</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7）投标人采用不正当的手段骗取中标。</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5.5 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5.6 对竞争性谈判、竞争性磋商或询价采购项目，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中标结果通知书”应理解为“成交结果通知书”；“中标合同”应理解为“成交合同”。</w:t>
      </w:r>
    </w:p>
    <w:p>
      <w:pPr>
        <w:widowControl/>
        <w:shd w:val="clear" w:color="auto" w:fill="FFFFFF"/>
        <w:adjustRightInd w:val="0"/>
        <w:snapToGrid w:val="0"/>
        <w:spacing w:line="480" w:lineRule="exact"/>
        <w:ind w:firstLine="480" w:firstLineChars="200"/>
        <w:jc w:val="left"/>
        <w:outlineLvl w:val="1"/>
        <w:rPr>
          <w:rFonts w:ascii="华文仿宋" w:hAnsi="华文仿宋" w:eastAsia="华文仿宋" w:cs="宋体"/>
          <w:kern w:val="0"/>
          <w:sz w:val="24"/>
          <w:szCs w:val="24"/>
        </w:rPr>
      </w:pPr>
      <w:r>
        <w:rPr>
          <w:rFonts w:hint="eastAsia" w:ascii="华文仿宋" w:hAnsi="华文仿宋" w:eastAsia="华文仿宋" w:cs="宋体"/>
          <w:kern w:val="0"/>
          <w:sz w:val="24"/>
          <w:szCs w:val="24"/>
        </w:rPr>
        <w:t>5.7 投诉受理渠道请浏览我行官网</w:t>
      </w:r>
      <w:r>
        <w:rPr>
          <w:rFonts w:ascii="华文仿宋" w:hAnsi="华文仿宋" w:eastAsia="华文仿宋" w:cs="宋体"/>
          <w:kern w:val="0"/>
          <w:sz w:val="22"/>
        </w:rPr>
        <w:t>http://www.srcb.com/contactus/index.shtml</w:t>
      </w:r>
      <w:r>
        <w:rPr>
          <w:rFonts w:hint="eastAsia" w:ascii="华文仿宋" w:hAnsi="华文仿宋" w:eastAsia="华文仿宋" w:cs="宋体"/>
          <w:kern w:val="0"/>
          <w:sz w:val="24"/>
          <w:szCs w:val="24"/>
        </w:rPr>
        <w:t>，或</w:t>
      </w:r>
      <w:r>
        <w:rPr>
          <w:rFonts w:hint="eastAsia" w:ascii="华文仿宋" w:hAnsi="华文仿宋" w:eastAsia="华文仿宋" w:cs="宋体"/>
          <w:kern w:val="0"/>
          <w:sz w:val="24"/>
          <w:szCs w:val="24"/>
          <w:lang w:val="en-US" w:eastAsia="zh-CN"/>
        </w:rPr>
        <w:t>发送电子邮件</w:t>
      </w:r>
      <w:r>
        <w:rPr>
          <w:rFonts w:hint="eastAsia" w:ascii="华文仿宋" w:hAnsi="华文仿宋" w:eastAsia="华文仿宋" w:cs="宋体"/>
          <w:kern w:val="0"/>
          <w:sz w:val="24"/>
          <w:szCs w:val="24"/>
        </w:rPr>
        <w:t>至</w:t>
      </w:r>
      <w:r>
        <w:rPr>
          <w:rFonts w:ascii="华文仿宋" w:hAnsi="华文仿宋" w:eastAsia="华文仿宋" w:cs="宋体"/>
          <w:kern w:val="0"/>
          <w:sz w:val="24"/>
          <w:szCs w:val="24"/>
        </w:rPr>
        <w:t>jzcg@srcb.com</w:t>
      </w:r>
      <w:r>
        <w:rPr>
          <w:rFonts w:hint="eastAsia" w:ascii="华文仿宋" w:hAnsi="华文仿宋" w:eastAsia="华文仿宋" w:cs="宋体"/>
          <w:kern w:val="0"/>
          <w:sz w:val="24"/>
          <w:szCs w:val="24"/>
        </w:rPr>
        <w:t>发起投诉。</w:t>
      </w:r>
    </w:p>
    <w:p>
      <w:pPr>
        <w:widowControl/>
        <w:shd w:val="clear" w:color="auto" w:fill="FFFFFF"/>
        <w:adjustRightInd w:val="0"/>
        <w:snapToGrid w:val="0"/>
        <w:spacing w:line="480" w:lineRule="exact"/>
        <w:ind w:firstLine="5280" w:firstLineChars="2200"/>
        <w:jc w:val="left"/>
        <w:rPr>
          <w:rFonts w:ascii="华文仿宋" w:hAnsi="华文仿宋" w:eastAsia="华文仿宋" w:cs="宋体"/>
          <w:kern w:val="0"/>
          <w:sz w:val="24"/>
          <w:szCs w:val="24"/>
        </w:rPr>
      </w:pPr>
    </w:p>
    <w:p>
      <w:pPr>
        <w:widowControl/>
        <w:shd w:val="clear" w:color="auto" w:fill="FFFFFF"/>
        <w:adjustRightInd w:val="0"/>
        <w:snapToGrid w:val="0"/>
        <w:spacing w:line="480" w:lineRule="exact"/>
        <w:jc w:val="left"/>
        <w:rPr>
          <w:rFonts w:ascii="华文仿宋" w:hAnsi="华文仿宋" w:eastAsia="华文仿宋" w:cs="宋体"/>
          <w:kern w:val="0"/>
          <w:sz w:val="24"/>
          <w:szCs w:val="24"/>
        </w:rPr>
      </w:pPr>
    </w:p>
    <w:sectPr>
      <w:footerReference r:id="rId3" w:type="default"/>
      <w:pgSz w:w="11906" w:h="16838"/>
      <w:pgMar w:top="1440" w:right="1800" w:bottom="1440" w:left="1800" w:header="851" w:footer="992" w:gutter="0"/>
      <w:pgNumType w:fmt="numberInDash"/>
      <w:cols w:space="425" w:num="1"/>
      <w:formProt w:val="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9"/>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35pt;margin-top:-5.75pt;height:144pt;width:144pt;mso-position-horizontal-relative:margin;mso-wrap-style:none;z-index:251658240;mso-width-relative:page;mso-height-relative:page;" filled="f" stroked="f" coordsize="21600,21600" o:gfxdata="UEsDBAoAAAAAAIdO4kAAAAAAAAAAAAAAAAAEAAAAZHJzL1BLAwQUAAAACACHTuJAaoUfbdkAAAAL&#10;AQAADwAAAGRycy9kb3ducmV2LnhtbE2PwU7DMAyG70i8Q2QkblvSsXVV13QSE+WIxMqBY9Z4baFx&#10;qiTrytsTTuxo+9Pv7y/2sxnYhM73liQkSwEMqbG6p1bCR10tMmA+KNJqsIQSftDDvry/K1Su7ZXe&#10;cTqGlsUQ8rmS0IUw5pz7pkOj/NKOSPF2ts6oEEfXcu3UNYabga+ESLlRPcUPnRrx0GHzfbwYCYeq&#10;rt2E3g2f+Fo9fb09r/FllvLxIRE7YAHn8A/Dn35UhzI6neyFtGeDhLUQ24hKWCTJBlgk0iyLm5OE&#10;1TbdAC8Lftuh/AVQSwMEFAAAAAgAh07iQCuo6nIZAgAAIQQAAA4AAABkcnMvZTJvRG9jLnhtbK1T&#10;y47TMBTdI/EPlvc0aRGjqmo6KjMqQqqYkQpi7TpOE8kv2W6T8gHwB6zYsOe7+h0cO0kHASvExr72&#10;fZ977vK2U5KchPON0QWdTnJKhOambPShoB/eb17MKfGB6ZJJo0VBz8LT29XzZ8vWLsTM1EaWwhEE&#10;0X7R2oLWIdhFlnleC8X8xFihoayMUyzg6Q5Z6ViL6Epmszy/yVrjSusMF97j975X0lWKX1WCh4eq&#10;8iIQWVDUFtLp0rmPZ7ZassXBMVs3fCiD/UMVijUaSa+h7llg5OiaP0KphjvjTRUm3KjMVFXDReoB&#10;3Uzz37rZ1cyK1AvA8fYKk/9/Yfm706MjTYnZUaKZwoguX79cvv24fP9MphGe1voFrHYWdqF7bbpo&#10;Ovx7fMauu8qpeKMfAj2APl/BFV0gPDrNZ/N5DhWHbnwgTvbkbp0Pb4RRJAoFdZheApWdtj70pqNJ&#10;zKbNppES/2whNWkLevPyVZ4crhoElzoaiMSFIUxsqS89SqHbd0M/e1Oe0aYzPU+85ZsGpWyZD4/M&#10;gRgoH2QPDzgqaZDSDBIltXGf/vYf7TEvaClpQbSCamwCJfKtxhwjJ0fBjcJ+FPRR3RkwF7NBLUmE&#10;gwtyFCtn1EdswDrmgIppjkwFDaN4F3qyY4O4WK+T0dG65lD3DmChZWGrd5bHNBEqb9fHAGgT4hGg&#10;HhVMKj7AwzSzYWci0X99J6unzV79B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qFH23ZAAAACwEA&#10;AA8AAAAAAAAAAQAgAAAAIgAAAGRycy9kb3ducmV2LnhtbFBLAQIUABQAAAAIAIdO4kArqOpyGQIA&#10;ACEEAAAOAAAAAAAAAAEAIAAAACgBAABkcnMvZTJvRG9jLnhtbFBLBQYAAAAABgAGAFkBAACzBQAA&#10;AAA=&#10;">
              <v:fill on="f" focussize="0,0"/>
              <v:stroke on="f" weight="0.5pt"/>
              <v:imagedata o:title=""/>
              <o:lock v:ext="edit" aspectratio="f"/>
              <v:textbox inset="0mm,0mm,0mm,0mm" style="mso-fit-shape-to-text:t;">
                <w:txbxContent>
                  <w:p>
                    <w:pPr>
                      <w:pStyle w:val="9"/>
                    </w:pPr>
                    <w:r>
                      <w:rPr>
                        <w:rFonts w:hint="eastAsia"/>
                      </w:rPr>
                      <w:fldChar w:fldCharType="begin"/>
                    </w:r>
                    <w:r>
                      <w:rPr>
                        <w:rFonts w:hint="eastAsia"/>
                      </w:rPr>
                      <w:instrText xml:space="preserve"> PAGE  \* MERGEFORMAT </w:instrText>
                    </w:r>
                    <w:r>
                      <w:rPr>
                        <w:rFonts w:hint="eastAsia"/>
                      </w:rPr>
                      <w:fldChar w:fldCharType="separate"/>
                    </w:r>
                    <w:r>
                      <w:t>- 1 -</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B"/>
    <w:lvl w:ilvl="0" w:tentative="0">
      <w:start w:val="1"/>
      <w:numFmt w:val="decimal"/>
      <w:pStyle w:val="2"/>
      <w:lvlText w:val="%1"/>
      <w:legacy w:legacy="1" w:legacySpace="255" w:legacyIndent="0"/>
      <w:lvlJc w:val="left"/>
      <w:rPr>
        <w:rFonts w:hint="eastAsia" w:ascii="黑体" w:eastAsia="黑体"/>
        <w:b w:val="0"/>
        <w:i w:val="0"/>
        <w:sz w:val="24"/>
      </w:rPr>
    </w:lvl>
    <w:lvl w:ilvl="1" w:tentative="0">
      <w:start w:val="1"/>
      <w:numFmt w:val="decimal"/>
      <w:lvlText w:val="%1.%2"/>
      <w:legacy w:legacy="1" w:legacySpace="255" w:legacyIndent="0"/>
      <w:lvlJc w:val="left"/>
      <w:rPr>
        <w:rFonts w:hint="eastAsia" w:ascii="黑体" w:eastAsia="黑体"/>
        <w:b w:val="0"/>
        <w:i w:val="0"/>
        <w:sz w:val="24"/>
      </w:rPr>
    </w:lvl>
    <w:lvl w:ilvl="2" w:tentative="0">
      <w:start w:val="1"/>
      <w:numFmt w:val="decimal"/>
      <w:lvlText w:val="%1.%2.%3"/>
      <w:legacy w:legacy="1" w:legacySpace="255" w:legacyIndent="0"/>
      <w:lvlJc w:val="left"/>
      <w:rPr>
        <w:rFonts w:hint="eastAsia" w:ascii="黑体" w:eastAsia="黑体"/>
        <w:b w:val="0"/>
        <w:i w:val="0"/>
        <w:sz w:val="24"/>
      </w:rPr>
    </w:lvl>
    <w:lvl w:ilvl="3" w:tentative="0">
      <w:start w:val="1"/>
      <w:numFmt w:val="decimal"/>
      <w:lvlText w:val="%1.%2.%3.%4"/>
      <w:legacy w:legacy="1" w:legacySpace="255" w:legacyIndent="0"/>
      <w:lvlJc w:val="left"/>
      <w:rPr>
        <w:rFonts w:hint="eastAsia" w:ascii="黑体" w:eastAsia="黑体"/>
        <w:b w:val="0"/>
        <w:i w:val="0"/>
        <w:sz w:val="24"/>
      </w:rPr>
    </w:lvl>
    <w:lvl w:ilvl="4" w:tentative="0">
      <w:start w:val="1"/>
      <w:numFmt w:val="decimal"/>
      <w:lvlText w:val="%1.%2.%3.%4.%5"/>
      <w:legacy w:legacy="1" w:legacySpace="255" w:legacyIndent="0"/>
      <w:lvlJc w:val="left"/>
      <w:rPr>
        <w:rFonts w:hint="eastAsia" w:ascii="黑体" w:eastAsia="黑体"/>
        <w:b w:val="0"/>
        <w:i w:val="0"/>
        <w:sz w:val="24"/>
      </w:rPr>
    </w:lvl>
    <w:lvl w:ilvl="5" w:tentative="0">
      <w:start w:val="1"/>
      <w:numFmt w:val="decimal"/>
      <w:lvlText w:val="%1.%2.%3.%4.%5.%6"/>
      <w:legacy w:legacy="1" w:legacySpace="255" w:legacyIndent="0"/>
      <w:lvlJc w:val="left"/>
      <w:rPr>
        <w:rFonts w:hint="eastAsia" w:ascii="黑体" w:eastAsia="黑体"/>
        <w:b w:val="0"/>
        <w:i w:val="0"/>
        <w:sz w:val="24"/>
      </w:rPr>
    </w:lvl>
    <w:lvl w:ilvl="6" w:tentative="0">
      <w:start w:val="1"/>
      <w:numFmt w:val="decimal"/>
      <w:lvlText w:val="（%7）"/>
      <w:legacy w:legacy="1" w:legacySpace="113" w:legacyIndent="0"/>
      <w:lvlJc w:val="left"/>
      <w:pPr>
        <w:ind w:left="1191" w:firstLine="0"/>
      </w:pPr>
      <w:rPr>
        <w:rFonts w:hint="eastAsia" w:ascii="黑体" w:eastAsia="黑体"/>
        <w:b w:val="0"/>
        <w:i w:val="0"/>
        <w:sz w:val="24"/>
      </w:rPr>
    </w:lvl>
    <w:lvl w:ilvl="7" w:tentative="0">
      <w:start w:val="1"/>
      <w:numFmt w:val="lowerLetter"/>
      <w:lvlText w:val="（%8）"/>
      <w:legacy w:legacy="1" w:legacySpace="113" w:legacyIndent="0"/>
      <w:lvlJc w:val="left"/>
      <w:pPr>
        <w:ind w:left="1888" w:firstLine="0"/>
      </w:pPr>
      <w:rPr>
        <w:rFonts w:hint="eastAsia" w:ascii="黑体" w:eastAsia="黑体"/>
        <w:b w:val="0"/>
        <w:i w:val="0"/>
        <w:sz w:val="24"/>
      </w:rPr>
    </w:lvl>
    <w:lvl w:ilvl="8" w:tentative="0">
      <w:start w:val="1"/>
      <w:numFmt w:val="lowerRoman"/>
      <w:lvlText w:val="（%9）"/>
      <w:legacy w:legacy="1" w:legacySpace="113" w:legacyIndent="0"/>
      <w:lvlJc w:val="left"/>
      <w:pPr>
        <w:ind w:left="2591" w:firstLine="0"/>
      </w:pPr>
      <w:rPr>
        <w:rFonts w:hint="eastAsia" w:ascii="黑体" w:eastAsia="黑体"/>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val="1"/>
  <w:bordersDoNotSurroundFooter w:val="1"/>
  <w:trackRevisions w:val="1"/>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nhideWhenUsed="0" w:uiPriority="9"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2"/>
    <w:qFormat/>
    <w:uiPriority w:val="0"/>
    <w:pPr>
      <w:numPr>
        <w:ilvl w:val="0"/>
        <w:numId w:val="1"/>
      </w:numPr>
      <w:spacing w:before="200" w:after="180"/>
      <w:outlineLvl w:val="0"/>
    </w:pPr>
    <w:rPr>
      <w:rFonts w:ascii="Arial" w:eastAsia="黑体"/>
      <w:kern w:val="44"/>
    </w:rPr>
  </w:style>
  <w:style w:type="paragraph" w:styleId="3">
    <w:name w:val="heading 2"/>
    <w:basedOn w:val="1"/>
    <w:next w:val="1"/>
    <w:link w:val="16"/>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paragraph" w:styleId="4">
    <w:name w:val="heading 7"/>
    <w:basedOn w:val="1"/>
    <w:next w:val="1"/>
    <w:link w:val="17"/>
    <w:qFormat/>
    <w:uiPriority w:val="9"/>
    <w:pPr>
      <w:widowControl/>
      <w:spacing w:before="100" w:beforeAutospacing="1" w:after="100" w:afterAutospacing="1"/>
      <w:jc w:val="left"/>
      <w:outlineLvl w:val="6"/>
    </w:pPr>
    <w:rPr>
      <w:rFonts w:ascii="宋体" w:hAnsi="宋体" w:eastAsia="宋体" w:cs="宋体"/>
      <w:kern w:val="0"/>
      <w:sz w:val="24"/>
      <w:szCs w:val="24"/>
    </w:rPr>
  </w:style>
  <w:style w:type="character" w:default="1" w:styleId="12">
    <w:name w:val="Default Paragraph Font"/>
    <w:semiHidden/>
    <w:unhideWhenUsed/>
    <w:qFormat/>
    <w:uiPriority w:val="1"/>
  </w:style>
  <w:style w:type="table" w:default="1" w:styleId="13">
    <w:name w:val="Normal Table"/>
    <w:semiHidden/>
    <w:unhideWhenUsed/>
    <w:qFormat/>
    <w:uiPriority w:val="99"/>
    <w:tblPr>
      <w:tblLayout w:type="fixed"/>
      <w:tblCellMar>
        <w:top w:w="0" w:type="dxa"/>
        <w:left w:w="108" w:type="dxa"/>
        <w:bottom w:w="0" w:type="dxa"/>
        <w:right w:w="108" w:type="dxa"/>
      </w:tblCellMar>
    </w:tblPr>
  </w:style>
  <w:style w:type="paragraph" w:styleId="5">
    <w:name w:val="Normal Indent"/>
    <w:basedOn w:val="1"/>
    <w:link w:val="23"/>
    <w:qFormat/>
    <w:uiPriority w:val="0"/>
    <w:pPr>
      <w:ind w:firstLine="482"/>
    </w:pPr>
  </w:style>
  <w:style w:type="paragraph" w:styleId="6">
    <w:name w:val="Document Map"/>
    <w:basedOn w:val="1"/>
    <w:link w:val="20"/>
    <w:semiHidden/>
    <w:unhideWhenUsed/>
    <w:qFormat/>
    <w:uiPriority w:val="99"/>
    <w:rPr>
      <w:rFonts w:ascii="宋体" w:eastAsia="宋体"/>
      <w:sz w:val="18"/>
      <w:szCs w:val="18"/>
    </w:rPr>
  </w:style>
  <w:style w:type="paragraph" w:styleId="7">
    <w:name w:val="annotation text"/>
    <w:basedOn w:val="1"/>
    <w:semiHidden/>
    <w:unhideWhenUsed/>
    <w:qFormat/>
    <w:uiPriority w:val="99"/>
    <w:pPr>
      <w:jc w:val="left"/>
    </w:pPr>
  </w:style>
  <w:style w:type="paragraph" w:styleId="8">
    <w:name w:val="Balloon Text"/>
    <w:basedOn w:val="1"/>
    <w:link w:val="21"/>
    <w:semiHidden/>
    <w:unhideWhenUsed/>
    <w:qFormat/>
    <w:uiPriority w:val="99"/>
    <w:rPr>
      <w:sz w:val="18"/>
      <w:szCs w:val="18"/>
    </w:rPr>
  </w:style>
  <w:style w:type="paragraph" w:styleId="9">
    <w:name w:val="footer"/>
    <w:basedOn w:val="1"/>
    <w:link w:val="15"/>
    <w:unhideWhenUsed/>
    <w:qFormat/>
    <w:uiPriority w:val="99"/>
    <w:pPr>
      <w:tabs>
        <w:tab w:val="center" w:pos="4153"/>
        <w:tab w:val="right" w:pos="8306"/>
      </w:tabs>
      <w:snapToGrid w:val="0"/>
      <w:jc w:val="left"/>
    </w:pPr>
    <w:rPr>
      <w:sz w:val="18"/>
      <w:szCs w:val="18"/>
    </w:rPr>
  </w:style>
  <w:style w:type="paragraph" w:styleId="10">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customStyle="1" w:styleId="14">
    <w:name w:val="页眉 Char"/>
    <w:basedOn w:val="12"/>
    <w:link w:val="10"/>
    <w:qFormat/>
    <w:uiPriority w:val="99"/>
    <w:rPr>
      <w:sz w:val="18"/>
      <w:szCs w:val="18"/>
    </w:rPr>
  </w:style>
  <w:style w:type="character" w:customStyle="1" w:styleId="15">
    <w:name w:val="页脚 Char"/>
    <w:basedOn w:val="12"/>
    <w:link w:val="9"/>
    <w:qFormat/>
    <w:uiPriority w:val="99"/>
    <w:rPr>
      <w:sz w:val="18"/>
      <w:szCs w:val="18"/>
    </w:rPr>
  </w:style>
  <w:style w:type="character" w:customStyle="1" w:styleId="16">
    <w:name w:val="标题 2 Char"/>
    <w:basedOn w:val="12"/>
    <w:link w:val="3"/>
    <w:qFormat/>
    <w:uiPriority w:val="9"/>
    <w:rPr>
      <w:rFonts w:ascii="宋体" w:hAnsi="宋体" w:eastAsia="宋体" w:cs="宋体"/>
      <w:b/>
      <w:bCs/>
      <w:kern w:val="0"/>
      <w:sz w:val="36"/>
      <w:szCs w:val="36"/>
    </w:rPr>
  </w:style>
  <w:style w:type="character" w:customStyle="1" w:styleId="17">
    <w:name w:val="标题 7 Char"/>
    <w:basedOn w:val="12"/>
    <w:link w:val="4"/>
    <w:qFormat/>
    <w:uiPriority w:val="9"/>
    <w:rPr>
      <w:rFonts w:ascii="宋体" w:hAnsi="宋体" w:eastAsia="宋体" w:cs="宋体"/>
      <w:kern w:val="0"/>
      <w:sz w:val="24"/>
      <w:szCs w:val="24"/>
    </w:rPr>
  </w:style>
  <w:style w:type="paragraph" w:customStyle="1" w:styleId="18">
    <w:name w:val="flname"/>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9">
    <w:name w:val="15"/>
    <w:basedOn w:val="12"/>
    <w:qFormat/>
    <w:uiPriority w:val="0"/>
  </w:style>
  <w:style w:type="character" w:customStyle="1" w:styleId="20">
    <w:name w:val="文档结构图 Char"/>
    <w:basedOn w:val="12"/>
    <w:link w:val="6"/>
    <w:semiHidden/>
    <w:qFormat/>
    <w:uiPriority w:val="99"/>
    <w:rPr>
      <w:rFonts w:ascii="宋体" w:eastAsia="宋体"/>
      <w:sz w:val="18"/>
      <w:szCs w:val="18"/>
    </w:rPr>
  </w:style>
  <w:style w:type="character" w:customStyle="1" w:styleId="21">
    <w:name w:val="批注框文本 Char"/>
    <w:basedOn w:val="12"/>
    <w:link w:val="8"/>
    <w:semiHidden/>
    <w:qFormat/>
    <w:uiPriority w:val="99"/>
    <w:rPr>
      <w:sz w:val="18"/>
      <w:szCs w:val="18"/>
    </w:rPr>
  </w:style>
  <w:style w:type="character" w:customStyle="1" w:styleId="22">
    <w:name w:val="标题 1 Char"/>
    <w:basedOn w:val="12"/>
    <w:link w:val="2"/>
    <w:qFormat/>
    <w:uiPriority w:val="0"/>
    <w:rPr>
      <w:rFonts w:ascii="Arial" w:eastAsia="黑体"/>
      <w:kern w:val="44"/>
    </w:rPr>
  </w:style>
  <w:style w:type="character" w:customStyle="1" w:styleId="23">
    <w:name w:val="正文缩进 Char"/>
    <w:basedOn w:val="12"/>
    <w:link w:val="5"/>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4</Pages>
  <Words>371</Words>
  <Characters>2121</Characters>
  <Lines>17</Lines>
  <Paragraphs>4</Paragraphs>
  <TotalTime>3</TotalTime>
  <ScaleCrop>false</ScaleCrop>
  <LinksUpToDate>false</LinksUpToDate>
  <CharactersWithSpaces>2488</CharactersWithSpaces>
  <Application>WPS Office_11.1.0.8013_F1E327BC-269C-435d-A152-05C5408002CA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2019-03-13T02:52:00Z</dcterms:created>
  <dc:creator>张慧</dc:creator>
  <cp:lastModifiedBy>srcb</cp:lastModifiedBy>
  <cp:lastPrinted>2019-03-05T03:00:00Z</cp:lastPrinted>
  <dcterms:modified xsi:type="dcterms:W3CDTF">2019-03-18T00:56:40Z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