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jc w:val="center"/>
        <w:rPr>
          <w:b/>
          <w:bCs/>
        </w:rPr>
      </w:pPr>
      <w:r>
        <w:rPr>
          <w:b/>
          <w:bCs/>
        </w:rPr>
        <w:t>MUTUAL NON-DISCLOSURE AGREEMENT</w:t>
      </w:r>
    </w:p>
    <w:p>
      <w:pPr>
        <w:spacing w:before="156" w:beforeLines="50" w:after="156" w:afterLines="50"/>
        <w:jc w:val="center"/>
        <w:rPr>
          <w:b/>
          <w:bCs/>
        </w:rPr>
      </w:pPr>
      <w:r>
        <w:rPr>
          <w:rFonts w:hint="eastAsia"/>
          <w:b/>
          <w:bCs/>
        </w:rPr>
        <w:t>相互保密协议</w:t>
      </w:r>
    </w:p>
    <w:p>
      <w:pPr>
        <w:spacing w:before="156" w:beforeLines="50" w:after="156" w:afterLines="50"/>
      </w:pPr>
      <w:r>
        <w:t>Our mutual objectives under this Agreement are to provide protection for each party’s confidential information and to maintain our ability to conduct our respective business activities. Each of us agrees that the following terms apply when one of us or our affiliates (“Discloser”) discloses, directly or indirectly, confidential information to the other or its affiliates (“Recipient”).</w:t>
      </w:r>
    </w:p>
    <w:p>
      <w:pPr>
        <w:spacing w:before="156" w:beforeLines="50" w:after="156" w:afterLines="50"/>
      </w:pPr>
      <w:r>
        <w:rPr>
          <w:rFonts w:hint="eastAsia"/>
        </w:rPr>
        <w:t>根据本协议，双方的共同目标旨在保护各方的商业机密和其他保密信息，并确保双方开展各自业务活动的能力。双方均同意，当一方或其关联公司（“披露方”）直接或间接向另一方或其关联公司（“接收方”）披露保密信息时，以下条款均适用。</w:t>
      </w:r>
    </w:p>
    <w:p>
      <w:pPr>
        <w:spacing w:before="156" w:beforeLines="50" w:after="156" w:afterLines="50"/>
      </w:pPr>
      <w:r>
        <w:rPr>
          <w:b/>
          <w:bCs/>
        </w:rPr>
        <w:t>1.</w:t>
      </w:r>
      <w:r>
        <w:rPr>
          <w:b/>
          <w:bCs/>
        </w:rPr>
        <w:tab/>
      </w:r>
      <w:r>
        <w:rPr>
          <w:b/>
          <w:bCs/>
        </w:rPr>
        <w:t xml:space="preserve">Disclosure. </w:t>
      </w:r>
      <w:r>
        <w:t>Confidential information that is exchanged between the Effective Date and termination of this Agreement (“Information”) is protected hereunder if it is marked confidential, is otherwise clearly identified by Discloser as confidential at the time of disclosure, or under the circumstances should be reasonably understood by Recipient to be confidential.</w:t>
      </w:r>
    </w:p>
    <w:p>
      <w:pPr>
        <w:spacing w:before="156" w:beforeLines="50" w:after="156" w:afterLines="50"/>
      </w:pPr>
      <w:r>
        <w:rPr>
          <w:b/>
          <w:bCs/>
        </w:rPr>
        <w:t>1.</w:t>
      </w:r>
      <w:r>
        <w:rPr>
          <w:b/>
          <w:bCs/>
        </w:rPr>
        <w:tab/>
      </w:r>
      <w:r>
        <w:rPr>
          <w:b/>
          <w:bCs/>
        </w:rPr>
        <w:t>信息披露。</w:t>
      </w:r>
      <w:r>
        <w:t>自本协议生效日至终止日期间</w:t>
      </w:r>
      <w:r>
        <w:rPr>
          <w:rFonts w:hint="eastAsia"/>
        </w:rPr>
        <w:t>协议双方</w:t>
      </w:r>
      <w:r>
        <w:t>交换的所有保密信息（“信息”），如</w:t>
      </w:r>
      <w:r>
        <w:rPr>
          <w:rFonts w:hint="eastAsia"/>
        </w:rPr>
        <w:t>一方</w:t>
      </w:r>
      <w:r>
        <w:t>标记为保密信息，或在披露方披露时明确认定为保密信息，或在合理情况下</w:t>
      </w:r>
      <w:r>
        <w:rPr>
          <w:rFonts w:hint="eastAsia"/>
        </w:rPr>
        <w:t>被</w:t>
      </w:r>
      <w:r>
        <w:t>接收方视为保密信息，即受本协议保护。</w:t>
      </w:r>
    </w:p>
    <w:p>
      <w:pPr>
        <w:spacing w:before="156" w:beforeLines="50" w:after="156" w:afterLines="50"/>
      </w:pPr>
      <w:r>
        <w:rPr>
          <w:b/>
          <w:bCs/>
        </w:rPr>
        <w:t>2.</w:t>
      </w:r>
      <w:r>
        <w:rPr>
          <w:b/>
          <w:bCs/>
        </w:rPr>
        <w:tab/>
      </w:r>
      <w:r>
        <w:rPr>
          <w:b/>
          <w:bCs/>
        </w:rPr>
        <w:t xml:space="preserve">Obligations. </w:t>
      </w:r>
      <w:r>
        <w:t>Recipient hereby agrees: (a) to use the same care and discretion to avoid disclosure, publication or dissemination of the Discloser's Information as Recipient uses with its own confidential information, and, at a minimum, Recipient shall use a reasonable standard of care, and (b) to use Discloser's Information solely for the purposes for which it was disclosed. Recipient may disclose Information to its affiliates, advisors, contractors, employees, consultants, and/or agents (collectively, “Representatives”) who have a need-to-know for the purposes of disclosure, provided Recipient is responsible to ensure that, before such disclosure, such Representatives are bound by terms at least as protective of Discloser’s Information as the terms herein and Recipient remains liable and responsible to Discloser for any Representative’s non-compliance with restrictions in this Agreement.</w:t>
      </w:r>
    </w:p>
    <w:p>
      <w:pPr>
        <w:spacing w:before="156" w:beforeLines="50" w:after="156" w:afterLines="50"/>
      </w:pPr>
      <w:r>
        <w:rPr>
          <w:b/>
          <w:bCs/>
        </w:rPr>
        <w:t>2.</w:t>
      </w:r>
      <w:r>
        <w:rPr>
          <w:b/>
          <w:bCs/>
        </w:rPr>
        <w:tab/>
      </w:r>
      <w:r>
        <w:rPr>
          <w:b/>
          <w:bCs/>
        </w:rPr>
        <w:t>保密义务。</w:t>
      </w:r>
      <w:r>
        <w:t>接收方特此同意：（a）按接收方保护</w:t>
      </w:r>
      <w:r>
        <w:rPr>
          <w:rFonts w:hint="eastAsia"/>
        </w:rPr>
        <w:t>其</w:t>
      </w:r>
      <w:r>
        <w:t>自身</w:t>
      </w:r>
      <w:r>
        <w:rPr>
          <w:rFonts w:hint="eastAsia"/>
        </w:rPr>
        <w:t>机密</w:t>
      </w:r>
      <w:r>
        <w:t>信息</w:t>
      </w:r>
      <w:r>
        <w:rPr>
          <w:rFonts w:hint="eastAsia"/>
        </w:rPr>
        <w:t>同等</w:t>
      </w:r>
      <w:r>
        <w:t>谨慎程度和举措，避免披露、出版或传播披露方的信息，且接收方应至少按合理的谨慎程度保护披露方的信息；且（b）仅出于披露目的使用披露方的信息。出于披露目的</w:t>
      </w:r>
      <w:r>
        <w:rPr>
          <w:rFonts w:hint="eastAsia"/>
        </w:rPr>
        <w:t>，</w:t>
      </w:r>
      <w:r>
        <w:t>接收方可向其需要了解信息的关联公司、咨询、承包商、员工、顾问和/或代理人（统称为“代表”）披露信息，前提是接收方有义务确保在披露信息前，此类代表</w:t>
      </w:r>
      <w:r>
        <w:rPr>
          <w:rFonts w:hint="eastAsia"/>
        </w:rPr>
        <w:t>应</w:t>
      </w:r>
      <w:r>
        <w:t>至少受到与本协议条款相同的披露方信息保护条款的约束，且接收方仍应对任何代表违反本协议的限制行为向披露方负责。</w:t>
      </w:r>
    </w:p>
    <w:p>
      <w:pPr>
        <w:spacing w:before="156" w:beforeLines="50" w:after="156" w:afterLines="50"/>
      </w:pPr>
      <w:r>
        <w:t>Upon request by written notice from Discloser to Recipient, Recipient shall either destroy or return all Discloser Information (whether written, electronically stored, or otherwise), and neither Recipient nor any of its Representatives shall retain any copies or extracts thereof except as may be required by applicable legal or regulatory requirements, or as necessary and required for compliance with Recipient’s express internal record retention policy, provided that any Information so retained will remain subject to the confidentiality obligations and use restrictions contained in this Agreement until destroyed.</w:t>
      </w:r>
    </w:p>
    <w:p>
      <w:pPr>
        <w:spacing w:before="156" w:beforeLines="50" w:after="156" w:afterLines="50"/>
      </w:pPr>
      <w:r>
        <w:rPr>
          <w:rFonts w:hint="eastAsia"/>
        </w:rPr>
        <w:t>根据披露方向接收方发出的书面通知的要求，接收方应销毁或返还所有披露方信息（无论是以书面、电子存储或以其他形式保存的信息），接收方或其任何代表均不得保留该信息的任何副本或摘录，但适用的法律、法规要求或遵守接收方明确的内部记录保留政策所必需和要求的情况除外，前提是任何以前述方式保留的信息在销毁前仍受本协议保密义务和使用限制的约束。</w:t>
      </w:r>
    </w:p>
    <w:p>
      <w:pPr>
        <w:spacing w:before="156" w:beforeLines="50" w:after="156" w:afterLines="50"/>
      </w:pPr>
      <w:r>
        <w:rPr>
          <w:b/>
          <w:bCs/>
        </w:rPr>
        <w:t>3.</w:t>
      </w:r>
      <w:r>
        <w:rPr>
          <w:b/>
          <w:bCs/>
        </w:rPr>
        <w:tab/>
      </w:r>
      <w:r>
        <w:rPr>
          <w:b/>
          <w:bCs/>
        </w:rPr>
        <w:t xml:space="preserve">Term. </w:t>
      </w:r>
      <w:r>
        <w:t xml:space="preserve">This Agreement will terminate </w:t>
      </w:r>
      <w:r>
        <w:rPr>
          <w:rFonts w:hint="eastAsia"/>
        </w:rPr>
        <w:t>ten</w:t>
      </w:r>
      <w:r>
        <w:t xml:space="preserve"> (</w:t>
      </w:r>
      <w:r>
        <w:rPr>
          <w:rFonts w:hint="eastAsia"/>
        </w:rPr>
        <w:t>10</w:t>
      </w:r>
      <w:r>
        <w:t xml:space="preserve">) years after the Effective Date; provided Information disclosed under this Agreement will be subject to this Agreement for </w:t>
      </w:r>
      <w:r>
        <w:rPr>
          <w:rFonts w:hint="eastAsia"/>
        </w:rPr>
        <w:t>ten</w:t>
      </w:r>
      <w:r>
        <w:t xml:space="preserve"> (</w:t>
      </w:r>
      <w:r>
        <w:rPr>
          <w:rFonts w:hint="eastAsia"/>
        </w:rPr>
        <w:t>10</w:t>
      </w:r>
      <w:r>
        <w:t>) years following the initial date of disclosure; and provided further, Information constituting Discloser’s trade secrets will remain subject to this Agreement for so long as such information remains a trade secret under the Uniform Trade Secrets Act.</w:t>
      </w:r>
    </w:p>
    <w:p>
      <w:pPr>
        <w:spacing w:before="156" w:beforeLines="50" w:after="156" w:afterLines="50"/>
      </w:pPr>
      <w:r>
        <w:rPr>
          <w:b/>
          <w:bCs/>
        </w:rPr>
        <w:t>3.</w:t>
      </w:r>
      <w:r>
        <w:rPr>
          <w:b/>
          <w:bCs/>
        </w:rPr>
        <w:tab/>
      </w:r>
      <w:r>
        <w:rPr>
          <w:b/>
          <w:bCs/>
        </w:rPr>
        <w:t>保密期限。</w:t>
      </w:r>
      <w:r>
        <w:t>本协议将在生效日期后的</w:t>
      </w:r>
      <w:r>
        <w:rPr>
          <w:rFonts w:hint="eastAsia"/>
        </w:rPr>
        <w:t>十（10）年</w:t>
      </w:r>
      <w:r>
        <w:t>后终止；根据本协议披露的信息将在最初披露日期后的</w:t>
      </w:r>
      <w:r>
        <w:rPr>
          <w:rFonts w:hint="eastAsia"/>
        </w:rPr>
        <w:t>十（10）年</w:t>
      </w:r>
      <w:r>
        <w:t>内受本协议约束；此外，如果构成披露方商业秘密的信息根据《统一商业秘密法》仍为商业秘密，则此类信息仍受本协议的约束。</w:t>
      </w:r>
    </w:p>
    <w:p>
      <w:pPr>
        <w:spacing w:before="156" w:beforeLines="50" w:after="156" w:afterLines="50"/>
      </w:pPr>
      <w:r>
        <w:rPr>
          <w:b/>
          <w:bCs/>
        </w:rPr>
        <w:t>4.</w:t>
      </w:r>
      <w:r>
        <w:rPr>
          <w:b/>
          <w:bCs/>
        </w:rPr>
        <w:tab/>
      </w:r>
      <w:r>
        <w:rPr>
          <w:b/>
          <w:bCs/>
        </w:rPr>
        <w:t xml:space="preserve">Exceptions to Obligations. </w:t>
      </w:r>
      <w:r>
        <w:t>Notwithstanding the other provisions herein, the restrictions herein shall not apply to Recipient for information that: (a) is already in Recipient’s possession at the time of disclosure without obligation of confidentiality, (b) is developed independently by Recipient, (c) is obtained by Recipient in good faith from a third party without obligation of confidentiality, or (d) is or becomes generally publicly available through no fault of Recipient. Recipient may disclose Discloser’s Information if, and solely to the extent, specifically required by law, but only if, prior to so disclosing, Recipient provides prompt written notice to Discloser and allows Discloser a reasonable opportunity to avoid or limit such disclosure after mutual consultation and agreement.</w:t>
      </w:r>
    </w:p>
    <w:p>
      <w:pPr>
        <w:spacing w:before="156" w:beforeLines="50" w:after="156" w:afterLines="50"/>
      </w:pPr>
      <w:r>
        <w:rPr>
          <w:b/>
          <w:bCs/>
        </w:rPr>
        <w:t>4.</w:t>
      </w:r>
      <w:r>
        <w:rPr>
          <w:b/>
          <w:bCs/>
        </w:rPr>
        <w:tab/>
      </w:r>
      <w:r>
        <w:rPr>
          <w:b/>
          <w:bCs/>
        </w:rPr>
        <w:t>保密义务例外情况。</w:t>
      </w:r>
      <w:r>
        <w:t>尽管本协议中有其他规定，但本协议中的限制不适用于以下信息的接收方：（a）接收方在披露时已持有且接收方不承担保密义务的信息；（b）由接收方独立开发的信息；（c）由接收方通过善意方式从不承担保密义务的第三方获得的信息；或（d）非因接收方的过错而成为公众可获得的信息。如果且仅在法律特别要求的范围内，接收方可对披露方的信息进行披露，但前提是接收方在进行此类披露前，应向披露方提供及时的书面通知，并</w:t>
      </w:r>
      <w:r>
        <w:rPr>
          <w:rFonts w:hint="eastAsia"/>
        </w:rPr>
        <w:t>经双方协商一致后，</w:t>
      </w:r>
      <w:r>
        <w:t>给予披露方合理的</w:t>
      </w:r>
      <w:bookmarkStart w:id="0" w:name="_GoBack"/>
      <w:bookmarkEnd w:id="0"/>
      <w:r>
        <w:t>机会避免或限制此类披露。</w:t>
      </w:r>
    </w:p>
    <w:p>
      <w:pPr>
        <w:spacing w:before="156" w:beforeLines="50" w:after="156" w:afterLines="50"/>
      </w:pPr>
      <w:r>
        <w:rPr>
          <w:b/>
          <w:bCs/>
        </w:rPr>
        <w:t>5.</w:t>
      </w:r>
      <w:r>
        <w:rPr>
          <w:b/>
          <w:bCs/>
        </w:rPr>
        <w:tab/>
      </w:r>
      <w:r>
        <w:rPr>
          <w:b/>
          <w:bCs/>
        </w:rPr>
        <w:t xml:space="preserve">Disclaimers. </w:t>
      </w:r>
      <w:r>
        <w:t>THE DISCLOSER PROVIDES INFORMATION WITHOUT WARRANTIES OF ANY KIND. Discloser will not be liable for any damages arising out of the use of Information disclosed under this Agreement. Neither this Agreement nor any disclosure of Information made under it grants Recipient any right or license under any trademark, copyright or patent now or subsequently owned or controlled by Discloser.</w:t>
      </w:r>
    </w:p>
    <w:p>
      <w:pPr>
        <w:spacing w:before="156" w:beforeLines="50" w:after="156" w:afterLines="50"/>
      </w:pPr>
      <w:r>
        <w:rPr>
          <w:b/>
          <w:bCs/>
        </w:rPr>
        <w:t>5.</w:t>
      </w:r>
      <w:r>
        <w:rPr>
          <w:b/>
          <w:bCs/>
        </w:rPr>
        <w:tab/>
      </w:r>
      <w:r>
        <w:rPr>
          <w:b/>
          <w:bCs/>
        </w:rPr>
        <w:t>免责声明。披露方提供的信息不包含任何形式的保证。</w:t>
      </w:r>
      <w:r>
        <w:t>披露方概不对因使用本协议项下披露的信息产生的任何损害负责。本协议或根据本协议进行的任何信息披露均未将披露方现在或以后拥有的或控制的任何商标、版权或专利项下的任何权利或许可授予接收方。</w:t>
      </w:r>
    </w:p>
    <w:p>
      <w:pPr>
        <w:spacing w:before="156" w:beforeLines="50" w:after="156" w:afterLines="50"/>
      </w:pPr>
      <w:r>
        <w:rPr>
          <w:b/>
          <w:bCs/>
        </w:rPr>
        <w:t>6.</w:t>
      </w:r>
      <w:r>
        <w:rPr>
          <w:b/>
          <w:bCs/>
        </w:rPr>
        <w:tab/>
      </w:r>
      <w:r>
        <w:rPr>
          <w:b/>
          <w:bCs/>
        </w:rPr>
        <w:t xml:space="preserve">General. </w:t>
      </w:r>
      <w:r>
        <w:t>This Agreement does not require either of us to disclose or receive Information. The receipt of Information under this Agreement will not limit Recipient from developing and providing to others products or services that may be competitive with products or services of Discloser or providing to others products or services that compete with Discloser; provided Recipient does not do so in breach of this Agreement, and, in the event  Fortinet receives product input or feedback from the other party hereto,  Fortinet may incorporate such input and feedback into its products and will own all intellectual property rights in and to those products and incorporated features or functions.</w:t>
      </w:r>
    </w:p>
    <w:p>
      <w:pPr>
        <w:spacing w:before="156" w:beforeLines="50" w:after="156" w:afterLines="50"/>
      </w:pPr>
      <w:r>
        <w:rPr>
          <w:b/>
          <w:bCs/>
        </w:rPr>
        <w:t>6.</w:t>
      </w:r>
      <w:r>
        <w:rPr>
          <w:b/>
          <w:bCs/>
        </w:rPr>
        <w:tab/>
      </w:r>
      <w:r>
        <w:rPr>
          <w:b/>
          <w:bCs/>
        </w:rPr>
        <w:t>通用条款。</w:t>
      </w:r>
      <w:r>
        <w:t>本协议不要求任何一方披露或接收信息。</w:t>
      </w:r>
      <w:r>
        <w:rPr>
          <w:rFonts w:hint="eastAsia"/>
        </w:rPr>
        <w:t>本协议项下的信息接收不限制接收方开发和向第三方提供可能与披露方的产品或服务存在竞争关系的产品或服务，或向第三方提供与披露方存在竞争关系的产品或服务；</w:t>
      </w:r>
      <w:r>
        <w:t>前提是接收方</w:t>
      </w:r>
      <w:r>
        <w:rPr>
          <w:rFonts w:hint="eastAsia"/>
        </w:rPr>
        <w:t>没有</w:t>
      </w:r>
      <w:r>
        <w:t>违反本协议相关规定</w:t>
      </w:r>
      <w:r>
        <w:rPr>
          <w:rFonts w:hint="eastAsia"/>
        </w:rPr>
        <w:t>，</w:t>
      </w:r>
      <w:r>
        <w:t>且如果 Fortinet从本协议第三方收到产品</w:t>
      </w:r>
      <w:r>
        <w:rPr>
          <w:rFonts w:hint="eastAsia"/>
        </w:rPr>
        <w:t>输入或反馈</w:t>
      </w:r>
      <w:r>
        <w:t>，Fortinet可</w:t>
      </w:r>
      <w:r>
        <w:rPr>
          <w:rFonts w:hint="eastAsia"/>
        </w:rPr>
        <w:t>根据此类输入或反馈优化</w:t>
      </w:r>
      <w:r>
        <w:t>其产品，</w:t>
      </w:r>
      <w:r>
        <w:rPr>
          <w:rFonts w:hint="eastAsia"/>
        </w:rPr>
        <w:t>并将拥有这些产品和优化的特性或功能</w:t>
      </w:r>
      <w:r>
        <w:t>或与其有关的</w:t>
      </w:r>
      <w:r>
        <w:rPr>
          <w:rFonts w:hint="eastAsia"/>
        </w:rPr>
        <w:t>所有知识产权。</w:t>
      </w:r>
    </w:p>
    <w:p>
      <w:pPr>
        <w:spacing w:before="156" w:beforeLines="50" w:after="156" w:afterLines="50"/>
      </w:pPr>
      <w:r>
        <w:t xml:space="preserve">The parties agree to comply with applicable data protection laws (meaning all laws, regulations and other legal requirements relating to privacy, data security, communications secrecy, security breach notification, or the processing of personal data), to the extent that they process personal data (as defined in applicable data protection laws). Any and all disputes arising from and related to this Agreement shall be governed by the laws of the People’s Republic of China (for the purpose of this article, excluding laws of Hong Kong Special Administrative Region, Macao Special Administrative Region and Taiwan), and </w:t>
      </w:r>
      <w:r>
        <w:rPr>
          <w:rFonts w:hint="eastAsia"/>
        </w:rPr>
        <w:t>b</w:t>
      </w:r>
      <w:r>
        <w:t>oth Parties agree to be governed by the Huangpu District People’s Court of Shanghai</w:t>
      </w:r>
      <w:r>
        <w:rPr>
          <w:rFonts w:hint="eastAsia"/>
        </w:rPr>
        <w:t>.</w:t>
      </w:r>
    </w:p>
    <w:p>
      <w:pPr>
        <w:spacing w:before="156" w:beforeLines="50" w:after="156" w:afterLines="50"/>
      </w:pPr>
      <w:r>
        <w:rPr>
          <w:rFonts w:hint="eastAsia"/>
        </w:rPr>
        <w:t>本协议双方均同意在处理个人数据（定义见适用的数据保护法）时，遵守适用的数据保护法（指所有与隐私、数据安全、通信保密、安全泄漏通知或个人数据处理有关的法律、法规和其他法律要求）。因本协议引起的或与本协议有关的任何争议均适用中华人民共和国法律（不包括香港特别行政区、澳门特别行政区及台湾地区的法律），且本协议双方同意接受由上海市黄浦区人民法院管辖。</w:t>
      </w:r>
    </w:p>
    <w:p>
      <w:pPr>
        <w:spacing w:before="156" w:beforeLines="50" w:after="156" w:afterLines="50"/>
      </w:pPr>
      <w:r>
        <w:t>Only a written agreement signed by both of us can modify this Agreement. Either of us may terminate this Agreement upon thirty (30) days’ written notice to the other. Any terms of this Agreement which by their nature extend beyond its termination remain in effect until fulfilled and apply to all successors and assigns. Neither of us may assign, or otherwise transfer, its rights or delegate its duties or obligations under this Agreement without prior written consent, and any attempt to do so is void. This Agreement is the complete and exclusive agreement regarding our disclosures of Information, and replaces any prior oral or written communications between us regarding these disclosures. This Agreement may be executed in counterparts, signed electronically, or transmitted via facsimile, PDF, or other reliable means, and still be considered an original.</w:t>
      </w:r>
    </w:p>
    <w:p>
      <w:pPr>
        <w:spacing w:before="156" w:beforeLines="50" w:after="156" w:afterLines="50"/>
      </w:pPr>
      <w:r>
        <w:rPr>
          <w:rFonts w:hint="eastAsia"/>
        </w:rPr>
        <w:t>本协议双方同意仅可通过经双方签署的书面协议修改本协议。任何一方如需终止协议，应提前三十（</w:t>
      </w:r>
      <w:r>
        <w:t>30）天向另一方发出书面通知</w:t>
      </w:r>
      <w:r>
        <w:rPr>
          <w:rFonts w:hint="eastAsia"/>
        </w:rPr>
        <w:t>方</w:t>
      </w:r>
      <w:r>
        <w:t>可终止本协议。本协议的任何条款，因其性质超出本协议终止期限的，直至履行前仍然有效，并适用于所有继受人和受让人。未经事先书面同意，任何一方均不得转让或以其他方式转移其在本协议项下的权利或委派其在本协议项下的职责或义务，且任何此类转让、转移或委派的尝试均属无效。本协议是与本协议双方的信息披露有关的完整和排他性协议，并取代双方先前就此类披露作出的任何口头或书面沟</w:t>
      </w:r>
      <w:r>
        <w:rPr>
          <w:rFonts w:hint="eastAsia"/>
        </w:rPr>
        <w:t>通。本协议可以多份副本形式签署，也可以电子方式签署，或通过传真、</w:t>
      </w:r>
      <w:r>
        <w:t>PDF或其他可靠的方式进行传输，在此类情况下，签署后的本协议仍应被视为原件</w:t>
      </w:r>
      <w:r>
        <w:rPr>
          <w:rFonts w:hint="eastAsia"/>
        </w:rPr>
        <w:t>且具备同等法律效力</w:t>
      </w:r>
      <w:r>
        <w:t>。</w:t>
      </w:r>
    </w:p>
    <w:p>
      <w:pPr>
        <w:spacing w:before="156" w:beforeLines="50" w:after="156" w:afterLines="50"/>
      </w:pPr>
      <w:r>
        <w:t>IN WITNESS WHEREOF, the undersigned parties have executed the Agreement as of the last date written below:</w:t>
      </w:r>
      <w:r>
        <w:rPr>
          <w:rFonts w:hint="eastAsia"/>
        </w:rPr>
        <w:t xml:space="preserve"> </w:t>
      </w:r>
    </w:p>
    <w:p>
      <w:pPr>
        <w:spacing w:before="156" w:beforeLines="50" w:after="156" w:afterLines="50"/>
      </w:pPr>
      <w:r>
        <w:rPr>
          <w:rFonts w:hint="eastAsia"/>
        </w:rPr>
        <w:t>本协议以下各方已于下列最后签署日期签署本协议，以昭信守：</w:t>
      </w:r>
    </w:p>
    <w:tbl>
      <w:tblPr>
        <w:tblStyle w:val="11"/>
        <w:tblW w:w="9675" w:type="dxa"/>
        <w:tblInd w:w="112" w:type="dxa"/>
        <w:tblLayout w:type="fixed"/>
        <w:tblCellMar>
          <w:top w:w="0" w:type="dxa"/>
          <w:left w:w="0" w:type="dxa"/>
          <w:bottom w:w="0" w:type="dxa"/>
          <w:right w:w="0" w:type="dxa"/>
        </w:tblCellMar>
      </w:tblPr>
      <w:tblGrid>
        <w:gridCol w:w="3087"/>
        <w:gridCol w:w="6588"/>
      </w:tblGrid>
      <w:tr>
        <w:tblPrEx>
          <w:tblCellMar>
            <w:top w:w="0" w:type="dxa"/>
            <w:left w:w="0" w:type="dxa"/>
            <w:bottom w:w="0" w:type="dxa"/>
            <w:right w:w="0" w:type="dxa"/>
          </w:tblCellMar>
        </w:tblPrEx>
        <w:trPr>
          <w:trHeight w:val="412" w:hRule="exact"/>
        </w:trPr>
        <w:tc>
          <w:tcPr>
            <w:tcW w:w="3087" w:type="dxa"/>
            <w:tcBorders>
              <w:top w:val="nil"/>
              <w:left w:val="nil"/>
              <w:bottom w:val="nil"/>
              <w:right w:val="nil"/>
            </w:tcBorders>
          </w:tcPr>
          <w:p>
            <w:pPr>
              <w:pStyle w:val="12"/>
              <w:rPr>
                <w:rFonts w:eastAsia="Arial"/>
                <w:szCs w:val="18"/>
              </w:rPr>
            </w:pPr>
            <w:r>
              <w:rPr>
                <w:szCs w:val="20"/>
              </w:rPr>
              <w:t>Company:</w:t>
            </w:r>
          </w:p>
        </w:tc>
        <w:tc>
          <w:tcPr>
            <w:tcW w:w="6588" w:type="dxa"/>
            <w:tcBorders>
              <w:top w:val="nil"/>
              <w:left w:val="nil"/>
              <w:bottom w:val="nil"/>
              <w:right w:val="nil"/>
            </w:tcBorders>
          </w:tcPr>
          <w:p>
            <w:pPr>
              <w:pStyle w:val="12"/>
              <w:rPr>
                <w:rFonts w:eastAsia="Arial"/>
                <w:szCs w:val="18"/>
              </w:rPr>
            </w:pPr>
            <w:r>
              <w:rPr>
                <w:szCs w:val="20"/>
              </w:rPr>
              <w:t>Company:</w:t>
            </w:r>
            <w:r>
              <w:rPr>
                <w:szCs w:val="20"/>
              </w:rPr>
              <w:tab/>
            </w:r>
            <w:r>
              <w:rPr>
                <w:szCs w:val="20"/>
              </w:rPr>
              <w:t xml:space="preserve"> Fortinet,</w:t>
            </w:r>
            <w:r>
              <w:rPr>
                <w:spacing w:val="-8"/>
                <w:szCs w:val="20"/>
              </w:rPr>
              <w:t xml:space="preserve"> </w:t>
            </w:r>
            <w:r>
              <w:rPr>
                <w:szCs w:val="20"/>
              </w:rPr>
              <w:t>Inc.</w:t>
            </w:r>
          </w:p>
        </w:tc>
      </w:tr>
      <w:tr>
        <w:tblPrEx>
          <w:tblCellMar>
            <w:top w:w="0" w:type="dxa"/>
            <w:left w:w="0" w:type="dxa"/>
            <w:bottom w:w="0" w:type="dxa"/>
            <w:right w:w="0" w:type="dxa"/>
          </w:tblCellMar>
        </w:tblPrEx>
        <w:trPr>
          <w:trHeight w:val="362" w:hRule="exact"/>
        </w:trPr>
        <w:tc>
          <w:tcPr>
            <w:tcW w:w="3087" w:type="dxa"/>
            <w:tcBorders>
              <w:top w:val="nil"/>
              <w:left w:val="nil"/>
              <w:bottom w:val="nil"/>
              <w:right w:val="nil"/>
            </w:tcBorders>
          </w:tcPr>
          <w:p>
            <w:pPr>
              <w:pStyle w:val="12"/>
              <w:rPr>
                <w:rFonts w:eastAsia="Arial"/>
                <w:szCs w:val="18"/>
              </w:rPr>
            </w:pPr>
            <w:r>
              <w:rPr>
                <w:szCs w:val="20"/>
              </w:rPr>
              <w:t>By:</w:t>
            </w:r>
            <w:r>
              <w:rPr>
                <w:szCs w:val="20"/>
              </w:rPr>
              <w:tab/>
            </w:r>
            <w:r>
              <w:rPr>
                <w:szCs w:val="20"/>
                <w:u w:val="single" w:color="000000"/>
              </w:rPr>
              <w:t xml:space="preserve"> </w:t>
            </w:r>
            <w:r>
              <w:rPr>
                <w:szCs w:val="20"/>
                <w:u w:val="single" w:color="000000"/>
              </w:rPr>
              <w:tab/>
            </w:r>
          </w:p>
        </w:tc>
        <w:tc>
          <w:tcPr>
            <w:tcW w:w="6588" w:type="dxa"/>
            <w:tcBorders>
              <w:top w:val="nil"/>
              <w:left w:val="nil"/>
              <w:bottom w:val="nil"/>
              <w:right w:val="nil"/>
            </w:tcBorders>
          </w:tcPr>
          <w:p>
            <w:pPr>
              <w:pStyle w:val="12"/>
              <w:rPr>
                <w:rFonts w:eastAsia="Arial"/>
                <w:szCs w:val="18"/>
              </w:rPr>
            </w:pPr>
            <w:r>
              <w:rPr>
                <w:szCs w:val="20"/>
              </w:rPr>
              <w:t>By:</w:t>
            </w:r>
            <w:r>
              <w:rPr>
                <w:szCs w:val="20"/>
              </w:rPr>
              <w:tab/>
            </w:r>
            <w:r>
              <w:rPr>
                <w:szCs w:val="20"/>
                <w:u w:val="single" w:color="000000"/>
              </w:rPr>
              <w:t xml:space="preserve"> </w:t>
            </w:r>
            <w:r>
              <w:rPr>
                <w:szCs w:val="20"/>
                <w:u w:val="single" w:color="000000"/>
              </w:rPr>
              <w:tab/>
            </w:r>
          </w:p>
        </w:tc>
      </w:tr>
      <w:tr>
        <w:tblPrEx>
          <w:tblCellMar>
            <w:top w:w="0" w:type="dxa"/>
            <w:left w:w="0" w:type="dxa"/>
            <w:bottom w:w="0" w:type="dxa"/>
            <w:right w:w="0" w:type="dxa"/>
          </w:tblCellMar>
        </w:tblPrEx>
        <w:trPr>
          <w:trHeight w:val="709" w:hRule="exact"/>
        </w:trPr>
        <w:tc>
          <w:tcPr>
            <w:tcW w:w="3087" w:type="dxa"/>
            <w:tcBorders>
              <w:top w:val="nil"/>
              <w:left w:val="nil"/>
              <w:bottom w:val="nil"/>
              <w:right w:val="nil"/>
            </w:tcBorders>
          </w:tcPr>
          <w:p>
            <w:pPr>
              <w:pStyle w:val="12"/>
              <w:rPr>
                <w:rFonts w:eastAsia="Arial"/>
                <w:szCs w:val="18"/>
              </w:rPr>
            </w:pPr>
            <w:r>
              <w:rPr>
                <w:szCs w:val="20"/>
              </w:rPr>
              <w:t>Name: Title:</w:t>
            </w:r>
          </w:p>
          <w:p>
            <w:pPr>
              <w:pStyle w:val="12"/>
              <w:rPr>
                <w:rFonts w:eastAsia="Arial"/>
                <w:szCs w:val="18"/>
              </w:rPr>
            </w:pPr>
            <w:r>
              <w:rPr>
                <w:szCs w:val="20"/>
              </w:rPr>
              <w:t>Date:</w:t>
            </w:r>
          </w:p>
        </w:tc>
        <w:tc>
          <w:tcPr>
            <w:tcW w:w="6588" w:type="dxa"/>
            <w:tcBorders>
              <w:top w:val="nil"/>
              <w:left w:val="nil"/>
              <w:bottom w:val="nil"/>
              <w:right w:val="nil"/>
            </w:tcBorders>
          </w:tcPr>
          <w:p>
            <w:pPr>
              <w:pStyle w:val="12"/>
              <w:rPr>
                <w:rFonts w:eastAsia="Arial"/>
                <w:szCs w:val="18"/>
              </w:rPr>
            </w:pPr>
            <w:r>
              <w:rPr>
                <w:szCs w:val="20"/>
              </w:rPr>
              <w:t>Name: Title:</w:t>
            </w:r>
          </w:p>
          <w:p>
            <w:pPr>
              <w:pStyle w:val="12"/>
              <w:rPr>
                <w:rFonts w:eastAsia="Arial"/>
                <w:szCs w:val="18"/>
              </w:rPr>
            </w:pPr>
            <w:r>
              <w:rPr>
                <w:szCs w:val="20"/>
              </w:rPr>
              <w:t>Effective</w:t>
            </w:r>
            <w:r>
              <w:rPr>
                <w:spacing w:val="-2"/>
                <w:szCs w:val="20"/>
              </w:rPr>
              <w:t xml:space="preserve"> </w:t>
            </w:r>
            <w:r>
              <w:rPr>
                <w:szCs w:val="20"/>
              </w:rPr>
              <w:t>Date:</w:t>
            </w:r>
          </w:p>
        </w:tc>
      </w:tr>
      <w:tr>
        <w:tblPrEx>
          <w:tblCellMar>
            <w:top w:w="0" w:type="dxa"/>
            <w:left w:w="0" w:type="dxa"/>
            <w:bottom w:w="0" w:type="dxa"/>
            <w:right w:w="0" w:type="dxa"/>
          </w:tblCellMar>
        </w:tblPrEx>
        <w:trPr>
          <w:trHeight w:val="709" w:hRule="exact"/>
        </w:trPr>
        <w:tc>
          <w:tcPr>
            <w:tcW w:w="3087" w:type="dxa"/>
            <w:tcBorders>
              <w:top w:val="nil"/>
              <w:left w:val="nil"/>
              <w:bottom w:val="nil"/>
              <w:right w:val="nil"/>
            </w:tcBorders>
          </w:tcPr>
          <w:p>
            <w:pPr>
              <w:pStyle w:val="12"/>
              <w:rPr>
                <w:rFonts w:eastAsia="Arial"/>
                <w:szCs w:val="18"/>
              </w:rPr>
            </w:pPr>
            <w:r>
              <w:rPr>
                <w:szCs w:val="20"/>
              </w:rPr>
              <w:t>Notice Address:</w:t>
            </w:r>
          </w:p>
        </w:tc>
        <w:tc>
          <w:tcPr>
            <w:tcW w:w="6588" w:type="dxa"/>
            <w:tcBorders>
              <w:top w:val="nil"/>
              <w:left w:val="nil"/>
              <w:bottom w:val="nil"/>
              <w:right w:val="nil"/>
            </w:tcBorders>
          </w:tcPr>
          <w:p>
            <w:pPr>
              <w:pStyle w:val="12"/>
              <w:rPr>
                <w:rFonts w:eastAsia="Arial"/>
                <w:szCs w:val="18"/>
              </w:rPr>
            </w:pPr>
            <w:r>
              <w:rPr>
                <w:szCs w:val="20"/>
              </w:rPr>
              <w:t>Notice:</w:t>
            </w:r>
            <w:r>
              <w:rPr>
                <w:szCs w:val="20"/>
              </w:rPr>
              <w:tab/>
            </w:r>
            <w:r>
              <w:rPr>
                <w:szCs w:val="20"/>
              </w:rPr>
              <w:t>Attn: (1) CFO and (2) Chief O</w:t>
            </w:r>
            <w:r>
              <w:rPr>
                <w:rFonts w:hint="eastAsia"/>
                <w:szCs w:val="20"/>
              </w:rPr>
              <w:t>perating</w:t>
            </w:r>
            <w:r>
              <w:rPr>
                <w:spacing w:val="14"/>
                <w:szCs w:val="20"/>
              </w:rPr>
              <w:t xml:space="preserve"> </w:t>
            </w:r>
            <w:r>
              <w:rPr>
                <w:szCs w:val="20"/>
              </w:rPr>
              <w:t>Officer Address:</w:t>
            </w:r>
            <w:r>
              <w:rPr>
                <w:szCs w:val="20"/>
              </w:rPr>
              <w:tab/>
            </w:r>
            <w:r>
              <w:rPr>
                <w:szCs w:val="20"/>
              </w:rPr>
              <w:t>899 Kifer Rd, Sunnyvale, CA 94086</w:t>
            </w:r>
            <w:r>
              <w:rPr>
                <w:spacing w:val="9"/>
                <w:szCs w:val="20"/>
              </w:rPr>
              <w:t xml:space="preserve"> </w:t>
            </w:r>
            <w:r>
              <w:rPr>
                <w:szCs w:val="20"/>
              </w:rPr>
              <w:t>U.S.A.</w:t>
            </w:r>
          </w:p>
        </w:tc>
      </w:tr>
    </w:tbl>
    <w:p>
      <w:pPr>
        <w:spacing w:before="156" w:beforeLines="50" w:after="156" w:afterLines="50"/>
      </w:pPr>
    </w:p>
    <w:tbl>
      <w:tblPr>
        <w:tblStyle w:val="11"/>
        <w:tblW w:w="9641" w:type="dxa"/>
        <w:tblInd w:w="112" w:type="dxa"/>
        <w:tblLayout w:type="fixed"/>
        <w:tblCellMar>
          <w:top w:w="0" w:type="dxa"/>
          <w:left w:w="0" w:type="dxa"/>
          <w:bottom w:w="0" w:type="dxa"/>
          <w:right w:w="0" w:type="dxa"/>
        </w:tblCellMar>
      </w:tblPr>
      <w:tblGrid>
        <w:gridCol w:w="3076"/>
        <w:gridCol w:w="6565"/>
      </w:tblGrid>
      <w:tr>
        <w:tblPrEx>
          <w:tblCellMar>
            <w:top w:w="0" w:type="dxa"/>
            <w:left w:w="0" w:type="dxa"/>
            <w:bottom w:w="0" w:type="dxa"/>
            <w:right w:w="0" w:type="dxa"/>
          </w:tblCellMar>
        </w:tblPrEx>
        <w:trPr>
          <w:trHeight w:val="590" w:hRule="exact"/>
        </w:trPr>
        <w:tc>
          <w:tcPr>
            <w:tcW w:w="3076" w:type="dxa"/>
            <w:tcBorders>
              <w:top w:val="nil"/>
              <w:left w:val="nil"/>
              <w:bottom w:val="nil"/>
              <w:right w:val="nil"/>
            </w:tcBorders>
          </w:tcPr>
          <w:p>
            <w:pPr>
              <w:pStyle w:val="12"/>
              <w:rPr>
                <w:szCs w:val="18"/>
              </w:rPr>
            </w:pPr>
            <w:r>
              <w:rPr>
                <w:szCs w:val="20"/>
              </w:rPr>
              <w:t>公司：</w:t>
            </w:r>
          </w:p>
        </w:tc>
        <w:tc>
          <w:tcPr>
            <w:tcW w:w="6565" w:type="dxa"/>
            <w:tcBorders>
              <w:top w:val="nil"/>
              <w:left w:val="nil"/>
              <w:bottom w:val="nil"/>
              <w:right w:val="nil"/>
            </w:tcBorders>
          </w:tcPr>
          <w:p>
            <w:pPr>
              <w:pStyle w:val="12"/>
              <w:rPr>
                <w:szCs w:val="18"/>
              </w:rPr>
            </w:pPr>
            <w:r>
              <w:rPr>
                <w:szCs w:val="20"/>
              </w:rPr>
              <w:t>公司：</w:t>
            </w:r>
            <w:r>
              <w:rPr>
                <w:szCs w:val="20"/>
              </w:rPr>
              <w:tab/>
            </w:r>
            <w:r>
              <w:rPr>
                <w:szCs w:val="20"/>
              </w:rPr>
              <w:t xml:space="preserve"> Fortinet, Inc.</w:t>
            </w:r>
          </w:p>
        </w:tc>
      </w:tr>
      <w:tr>
        <w:tblPrEx>
          <w:tblCellMar>
            <w:top w:w="0" w:type="dxa"/>
            <w:left w:w="0" w:type="dxa"/>
            <w:bottom w:w="0" w:type="dxa"/>
            <w:right w:w="0" w:type="dxa"/>
          </w:tblCellMar>
        </w:tblPrEx>
        <w:trPr>
          <w:trHeight w:val="565" w:hRule="exact"/>
        </w:trPr>
        <w:tc>
          <w:tcPr>
            <w:tcW w:w="3076" w:type="dxa"/>
            <w:tcBorders>
              <w:top w:val="nil"/>
              <w:left w:val="nil"/>
              <w:bottom w:val="nil"/>
              <w:right w:val="nil"/>
            </w:tcBorders>
          </w:tcPr>
          <w:p>
            <w:pPr>
              <w:pStyle w:val="12"/>
              <w:rPr>
                <w:szCs w:val="18"/>
              </w:rPr>
            </w:pPr>
            <w:r>
              <w:rPr>
                <w:szCs w:val="20"/>
              </w:rPr>
              <w:t>签字：</w:t>
            </w:r>
            <w:r>
              <w:rPr>
                <w:szCs w:val="20"/>
              </w:rPr>
              <w:tab/>
            </w:r>
            <w:r>
              <w:rPr>
                <w:szCs w:val="20"/>
                <w:u w:val="single" w:color="000000"/>
              </w:rPr>
              <w:t xml:space="preserve"> </w:t>
            </w:r>
            <w:r>
              <w:rPr>
                <w:szCs w:val="20"/>
                <w:u w:val="single" w:color="000000"/>
              </w:rPr>
              <w:tab/>
            </w:r>
          </w:p>
        </w:tc>
        <w:tc>
          <w:tcPr>
            <w:tcW w:w="6565" w:type="dxa"/>
            <w:tcBorders>
              <w:top w:val="nil"/>
              <w:left w:val="nil"/>
              <w:bottom w:val="nil"/>
              <w:right w:val="nil"/>
            </w:tcBorders>
          </w:tcPr>
          <w:p>
            <w:pPr>
              <w:pStyle w:val="12"/>
              <w:rPr>
                <w:szCs w:val="18"/>
              </w:rPr>
            </w:pPr>
            <w:r>
              <w:rPr>
                <w:szCs w:val="20"/>
              </w:rPr>
              <w:t>签字：</w:t>
            </w:r>
            <w:r>
              <w:rPr>
                <w:szCs w:val="20"/>
              </w:rPr>
              <w:tab/>
            </w:r>
            <w:r>
              <w:rPr>
                <w:szCs w:val="20"/>
                <w:u w:val="single" w:color="000000"/>
              </w:rPr>
              <w:t xml:space="preserve"> </w:t>
            </w:r>
            <w:r>
              <w:rPr>
                <w:szCs w:val="20"/>
                <w:u w:val="single" w:color="000000"/>
              </w:rPr>
              <w:tab/>
            </w:r>
          </w:p>
        </w:tc>
      </w:tr>
      <w:tr>
        <w:tblPrEx>
          <w:tblCellMar>
            <w:top w:w="0" w:type="dxa"/>
            <w:left w:w="0" w:type="dxa"/>
            <w:bottom w:w="0" w:type="dxa"/>
            <w:right w:w="0" w:type="dxa"/>
          </w:tblCellMar>
        </w:tblPrEx>
        <w:trPr>
          <w:trHeight w:val="1236" w:hRule="exact"/>
        </w:trPr>
        <w:tc>
          <w:tcPr>
            <w:tcW w:w="3076" w:type="dxa"/>
            <w:tcBorders>
              <w:top w:val="nil"/>
              <w:left w:val="nil"/>
              <w:bottom w:val="nil"/>
              <w:right w:val="nil"/>
            </w:tcBorders>
          </w:tcPr>
          <w:p>
            <w:pPr>
              <w:pStyle w:val="12"/>
              <w:rPr>
                <w:szCs w:val="20"/>
              </w:rPr>
            </w:pPr>
            <w:r>
              <w:rPr>
                <w:szCs w:val="20"/>
              </w:rPr>
              <w:t>姓名：</w:t>
            </w:r>
          </w:p>
          <w:p>
            <w:pPr>
              <w:pStyle w:val="12"/>
              <w:rPr>
                <w:szCs w:val="18"/>
              </w:rPr>
            </w:pPr>
            <w:r>
              <w:rPr>
                <w:szCs w:val="20"/>
              </w:rPr>
              <w:t>职位：</w:t>
            </w:r>
          </w:p>
          <w:p>
            <w:pPr>
              <w:pStyle w:val="12"/>
              <w:rPr>
                <w:szCs w:val="18"/>
              </w:rPr>
            </w:pPr>
            <w:r>
              <w:rPr>
                <w:szCs w:val="20"/>
              </w:rPr>
              <w:t>日期：</w:t>
            </w:r>
          </w:p>
        </w:tc>
        <w:tc>
          <w:tcPr>
            <w:tcW w:w="6565" w:type="dxa"/>
            <w:tcBorders>
              <w:top w:val="nil"/>
              <w:left w:val="nil"/>
              <w:bottom w:val="nil"/>
              <w:right w:val="nil"/>
            </w:tcBorders>
          </w:tcPr>
          <w:p>
            <w:pPr>
              <w:pStyle w:val="12"/>
              <w:rPr>
                <w:szCs w:val="20"/>
              </w:rPr>
            </w:pPr>
            <w:r>
              <w:rPr>
                <w:szCs w:val="20"/>
              </w:rPr>
              <w:t>姓名：</w:t>
            </w:r>
          </w:p>
          <w:p>
            <w:pPr>
              <w:pStyle w:val="12"/>
              <w:rPr>
                <w:szCs w:val="18"/>
              </w:rPr>
            </w:pPr>
            <w:r>
              <w:rPr>
                <w:szCs w:val="20"/>
              </w:rPr>
              <w:t>职位：</w:t>
            </w:r>
          </w:p>
          <w:p>
            <w:pPr>
              <w:pStyle w:val="12"/>
              <w:rPr>
                <w:szCs w:val="18"/>
              </w:rPr>
            </w:pPr>
            <w:r>
              <w:rPr>
                <w:szCs w:val="20"/>
              </w:rPr>
              <w:t>生效日期：</w:t>
            </w:r>
          </w:p>
        </w:tc>
      </w:tr>
      <w:tr>
        <w:tblPrEx>
          <w:tblCellMar>
            <w:top w:w="0" w:type="dxa"/>
            <w:left w:w="0" w:type="dxa"/>
            <w:bottom w:w="0" w:type="dxa"/>
            <w:right w:w="0" w:type="dxa"/>
          </w:tblCellMar>
        </w:tblPrEx>
        <w:trPr>
          <w:trHeight w:val="1316" w:hRule="exact"/>
        </w:trPr>
        <w:tc>
          <w:tcPr>
            <w:tcW w:w="3076" w:type="dxa"/>
            <w:tcBorders>
              <w:top w:val="nil"/>
              <w:left w:val="nil"/>
              <w:bottom w:val="nil"/>
              <w:right w:val="nil"/>
            </w:tcBorders>
          </w:tcPr>
          <w:p>
            <w:pPr>
              <w:pStyle w:val="12"/>
              <w:rPr>
                <w:szCs w:val="18"/>
              </w:rPr>
            </w:pPr>
            <w:r>
              <w:rPr>
                <w:szCs w:val="20"/>
              </w:rPr>
              <w:t>通知地址：</w:t>
            </w:r>
          </w:p>
        </w:tc>
        <w:tc>
          <w:tcPr>
            <w:tcW w:w="6565" w:type="dxa"/>
            <w:tcBorders>
              <w:top w:val="nil"/>
              <w:left w:val="nil"/>
              <w:bottom w:val="nil"/>
              <w:right w:val="nil"/>
            </w:tcBorders>
          </w:tcPr>
          <w:p>
            <w:pPr>
              <w:pStyle w:val="12"/>
              <w:rPr>
                <w:szCs w:val="20"/>
              </w:rPr>
            </w:pPr>
            <w:r>
              <w:rPr>
                <w:szCs w:val="20"/>
              </w:rPr>
              <w:t>通知：</w:t>
            </w:r>
            <w:r>
              <w:rPr>
                <w:szCs w:val="20"/>
              </w:rPr>
              <w:tab/>
            </w:r>
            <w:r>
              <w:rPr>
                <w:szCs w:val="20"/>
              </w:rPr>
              <w:t>收件人：（1）首席财务官和（2）首席</w:t>
            </w:r>
            <w:r>
              <w:rPr>
                <w:rFonts w:hint="eastAsia"/>
                <w:szCs w:val="20"/>
              </w:rPr>
              <w:t>运营官</w:t>
            </w:r>
          </w:p>
          <w:p>
            <w:pPr>
              <w:pStyle w:val="12"/>
              <w:rPr>
                <w:szCs w:val="18"/>
              </w:rPr>
            </w:pPr>
            <w:r>
              <w:rPr>
                <w:szCs w:val="20"/>
              </w:rPr>
              <w:t>地址：899 Kifer Rd, Sunnyvale, CA 94086 U.S.A.</w:t>
            </w:r>
          </w:p>
        </w:tc>
      </w:tr>
    </w:tbl>
    <w:p>
      <w:pPr>
        <w:spacing w:before="156" w:beforeLines="50" w:after="156" w:afterLines="50"/>
        <w:jc w:val="left"/>
        <w:rPr>
          <w:sz w:val="18"/>
          <w:szCs w:val="18"/>
        </w:rPr>
      </w:pPr>
    </w:p>
    <w:sectPr>
      <w:footerReference r:id="rId3" w:type="default"/>
      <w:footerReference r:id="rId4" w:type="even"/>
      <w:pgSz w:w="11906" w:h="16838"/>
      <w:pgMar w:top="1134" w:right="1134" w:bottom="1134" w:left="1134"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8"/>
      </w:rPr>
      <w:id w:val="-1017617113"/>
      <w:docPartObj>
        <w:docPartGallery w:val="autotext"/>
      </w:docPartObj>
    </w:sdtPr>
    <w:sdtEndPr>
      <w:rPr>
        <w:rStyle w:val="8"/>
      </w:rPr>
    </w:sdtEndPr>
    <w:sdtContent>
      <w:p>
        <w:pPr>
          <w:pStyle w:val="3"/>
          <w:framePr w:wrap="auto" w:vAnchor="text" w:hAnchor="margin" w:xAlign="center" w:y="1"/>
          <w:rPr>
            <w:rStyle w:val="8"/>
          </w:rPr>
        </w:pPr>
        <w:r>
          <w:rPr>
            <w:rStyle w:val="8"/>
          </w:rPr>
          <w:fldChar w:fldCharType="begin"/>
        </w:r>
        <w:r>
          <w:rPr>
            <w:rStyle w:val="8"/>
          </w:rPr>
          <w:instrText xml:space="preserve"> PAGE </w:instrText>
        </w:r>
        <w:r>
          <w:rPr>
            <w:rStyle w:val="8"/>
          </w:rPr>
          <w:fldChar w:fldCharType="separate"/>
        </w:r>
        <w:r>
          <w:rPr>
            <w:rStyle w:val="8"/>
          </w:rPr>
          <w:t>1</w:t>
        </w:r>
        <w:r>
          <w:rPr>
            <w:rStyle w:val="8"/>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8"/>
      </w:rPr>
      <w:id w:val="-716125414"/>
      <w:docPartObj>
        <w:docPartGallery w:val="autotext"/>
      </w:docPartObj>
    </w:sdtPr>
    <w:sdtEndPr>
      <w:rPr>
        <w:rStyle w:val="8"/>
      </w:rPr>
    </w:sdtEndPr>
    <w:sdtContent>
      <w:p>
        <w:pPr>
          <w:pStyle w:val="3"/>
          <w:framePr w:wrap="auto" w:vAnchor="text" w:hAnchor="margin" w:xAlign="center" w:y="1"/>
          <w:rPr>
            <w:rStyle w:val="8"/>
          </w:rPr>
        </w:pPr>
        <w:r>
          <w:rPr>
            <w:rStyle w:val="8"/>
          </w:rPr>
          <w:fldChar w:fldCharType="begin"/>
        </w:r>
        <w:r>
          <w:rPr>
            <w:rStyle w:val="8"/>
          </w:rPr>
          <w:instrText xml:space="preserve"> PAGE </w:instrText>
        </w:r>
        <w:r>
          <w:rPr>
            <w:rStyle w:val="8"/>
          </w:rP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trackRevisions w:val="1"/>
  <w:documentProtection w:edit="form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EzOWE5YjZkNjVhZGQwMGFjZTAzMjMxYWI3M2FhOWQifQ=="/>
  </w:docVars>
  <w:rsids>
    <w:rsidRoot w:val="004043C9"/>
    <w:rsid w:val="00007E8C"/>
    <w:rsid w:val="00016AFE"/>
    <w:rsid w:val="000D0C63"/>
    <w:rsid w:val="000D12F4"/>
    <w:rsid w:val="000F2A4D"/>
    <w:rsid w:val="001232E2"/>
    <w:rsid w:val="001248FB"/>
    <w:rsid w:val="00142B8A"/>
    <w:rsid w:val="00152BE9"/>
    <w:rsid w:val="001A519A"/>
    <w:rsid w:val="001A79A7"/>
    <w:rsid w:val="001C50F3"/>
    <w:rsid w:val="001E788A"/>
    <w:rsid w:val="001F3002"/>
    <w:rsid w:val="002343F6"/>
    <w:rsid w:val="00242BB6"/>
    <w:rsid w:val="00272C03"/>
    <w:rsid w:val="002A10E4"/>
    <w:rsid w:val="002D7218"/>
    <w:rsid w:val="002E2186"/>
    <w:rsid w:val="00340D04"/>
    <w:rsid w:val="003543EA"/>
    <w:rsid w:val="00394EB3"/>
    <w:rsid w:val="004043C9"/>
    <w:rsid w:val="00430DEA"/>
    <w:rsid w:val="00436717"/>
    <w:rsid w:val="0044106B"/>
    <w:rsid w:val="00456FA7"/>
    <w:rsid w:val="004A139E"/>
    <w:rsid w:val="0050176A"/>
    <w:rsid w:val="00547F50"/>
    <w:rsid w:val="005636F8"/>
    <w:rsid w:val="00570AC8"/>
    <w:rsid w:val="00590283"/>
    <w:rsid w:val="00611C12"/>
    <w:rsid w:val="00644379"/>
    <w:rsid w:val="006461FA"/>
    <w:rsid w:val="006754EC"/>
    <w:rsid w:val="006B250A"/>
    <w:rsid w:val="006F546C"/>
    <w:rsid w:val="006F5CDA"/>
    <w:rsid w:val="007000C7"/>
    <w:rsid w:val="007E6DA0"/>
    <w:rsid w:val="008002C3"/>
    <w:rsid w:val="008A34B2"/>
    <w:rsid w:val="008F64E4"/>
    <w:rsid w:val="009C7C3A"/>
    <w:rsid w:val="00A61BEE"/>
    <w:rsid w:val="00AB2F90"/>
    <w:rsid w:val="00AC4BEB"/>
    <w:rsid w:val="00AE1629"/>
    <w:rsid w:val="00B02C08"/>
    <w:rsid w:val="00B240F5"/>
    <w:rsid w:val="00B87DA5"/>
    <w:rsid w:val="00B90E6D"/>
    <w:rsid w:val="00B92274"/>
    <w:rsid w:val="00BD77AA"/>
    <w:rsid w:val="00BF6F36"/>
    <w:rsid w:val="00C15DF6"/>
    <w:rsid w:val="00C16EB3"/>
    <w:rsid w:val="00C24080"/>
    <w:rsid w:val="00C24C66"/>
    <w:rsid w:val="00C6442F"/>
    <w:rsid w:val="00CF1C4C"/>
    <w:rsid w:val="00CF73FC"/>
    <w:rsid w:val="00D46861"/>
    <w:rsid w:val="00D862A7"/>
    <w:rsid w:val="00DD2909"/>
    <w:rsid w:val="00E11B7D"/>
    <w:rsid w:val="00E17B59"/>
    <w:rsid w:val="00E21D14"/>
    <w:rsid w:val="00EF1785"/>
    <w:rsid w:val="00F15D3A"/>
    <w:rsid w:val="00F20371"/>
    <w:rsid w:val="00F76EC2"/>
    <w:rsid w:val="00F8571B"/>
    <w:rsid w:val="00FC0DDB"/>
    <w:rsid w:val="00FC5992"/>
    <w:rsid w:val="05742A02"/>
    <w:rsid w:val="06172B2B"/>
    <w:rsid w:val="08FC1B37"/>
    <w:rsid w:val="091927F9"/>
    <w:rsid w:val="0C155234"/>
    <w:rsid w:val="10E808A9"/>
    <w:rsid w:val="181C2EE7"/>
    <w:rsid w:val="19273931"/>
    <w:rsid w:val="1D293735"/>
    <w:rsid w:val="1D3117B4"/>
    <w:rsid w:val="1DF75E1B"/>
    <w:rsid w:val="2A122A37"/>
    <w:rsid w:val="2AF23A05"/>
    <w:rsid w:val="2CF75930"/>
    <w:rsid w:val="2E6A184A"/>
    <w:rsid w:val="2EB60FCE"/>
    <w:rsid w:val="2EDF4C89"/>
    <w:rsid w:val="39906DFC"/>
    <w:rsid w:val="3A6439B4"/>
    <w:rsid w:val="3B4434A2"/>
    <w:rsid w:val="41FA7EF9"/>
    <w:rsid w:val="4A442FB7"/>
    <w:rsid w:val="54D8602B"/>
    <w:rsid w:val="55377980"/>
    <w:rsid w:val="59AC5C29"/>
    <w:rsid w:val="5A405A6E"/>
    <w:rsid w:val="5D870D92"/>
    <w:rsid w:val="614115F2"/>
    <w:rsid w:val="623017F9"/>
    <w:rsid w:val="65DD4EC4"/>
    <w:rsid w:val="67281F7E"/>
    <w:rsid w:val="6AC90F29"/>
    <w:rsid w:val="6C1171FA"/>
    <w:rsid w:val="74FE66C2"/>
    <w:rsid w:val="75033D1C"/>
    <w:rsid w:val="79377801"/>
    <w:rsid w:val="7E9B40E1"/>
    <w:rsid w:val="7F5A36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semiHidden/>
    <w:unhideWhenUsed/>
    <w:qFormat/>
    <w:uiPriority w:val="99"/>
    <w:pPr>
      <w:jc w:val="left"/>
    </w:pPr>
  </w:style>
  <w:style w:type="paragraph" w:styleId="3">
    <w:name w:val="footer"/>
    <w:basedOn w:val="1"/>
    <w:link w:val="14"/>
    <w:unhideWhenUsed/>
    <w:qFormat/>
    <w:uiPriority w:val="99"/>
    <w:pPr>
      <w:tabs>
        <w:tab w:val="center" w:pos="4153"/>
        <w:tab w:val="right" w:pos="8306"/>
      </w:tabs>
      <w:snapToGrid w:val="0"/>
      <w:jc w:val="left"/>
    </w:pPr>
    <w:rPr>
      <w:sz w:val="18"/>
      <w:szCs w:val="18"/>
    </w:rPr>
  </w:style>
  <w:style w:type="paragraph" w:styleId="4">
    <w:name w:val="header"/>
    <w:basedOn w:val="1"/>
    <w:link w:val="13"/>
    <w:unhideWhenUsed/>
    <w:qFormat/>
    <w:uiPriority w:val="99"/>
    <w:pPr>
      <w:tabs>
        <w:tab w:val="center" w:pos="4153"/>
        <w:tab w:val="right" w:pos="8306"/>
      </w:tabs>
      <w:snapToGrid w:val="0"/>
      <w:jc w:val="center"/>
    </w:pPr>
    <w:rPr>
      <w:sz w:val="18"/>
      <w:szCs w:val="18"/>
    </w:rPr>
  </w:style>
  <w:style w:type="paragraph" w:styleId="5">
    <w:name w:val="annotation subject"/>
    <w:basedOn w:val="2"/>
    <w:next w:val="2"/>
    <w:link w:val="18"/>
    <w:semiHidden/>
    <w:unhideWhenUsed/>
    <w:qFormat/>
    <w:uiPriority w:val="99"/>
    <w:rPr>
      <w:b/>
      <w:bCs/>
    </w:rPr>
  </w:style>
  <w:style w:type="character" w:styleId="8">
    <w:name w:val="page number"/>
    <w:basedOn w:val="7"/>
    <w:semiHidden/>
    <w:unhideWhenUsed/>
    <w:qFormat/>
    <w:uiPriority w:val="99"/>
  </w:style>
  <w:style w:type="character" w:styleId="9">
    <w:name w:val="annotation reference"/>
    <w:basedOn w:val="7"/>
    <w:semiHidden/>
    <w:unhideWhenUsed/>
    <w:qFormat/>
    <w:uiPriority w:val="99"/>
    <w:rPr>
      <w:sz w:val="21"/>
      <w:szCs w:val="21"/>
    </w:rPr>
  </w:style>
  <w:style w:type="paragraph" w:customStyle="1" w:styleId="10">
    <w:name w:val="修订1"/>
    <w:hidden/>
    <w:semiHidden/>
    <w:qFormat/>
    <w:uiPriority w:val="99"/>
    <w:rPr>
      <w:rFonts w:asciiTheme="minorHAnsi" w:hAnsiTheme="minorHAnsi" w:eastAsiaTheme="minorEastAsia" w:cstheme="minorBidi"/>
      <w:kern w:val="2"/>
      <w:sz w:val="21"/>
      <w:szCs w:val="22"/>
      <w:lang w:val="en-US" w:eastAsia="zh-CN" w:bidi="ar-SA"/>
    </w:rPr>
  </w:style>
  <w:style w:type="table" w:customStyle="1" w:styleId="11">
    <w:name w:val="Table Normal1"/>
    <w:semiHidden/>
    <w:unhideWhenUsed/>
    <w:qFormat/>
    <w:uiPriority w:val="2"/>
    <w:tblPr>
      <w:tblCellMar>
        <w:top w:w="0" w:type="dxa"/>
        <w:left w:w="0" w:type="dxa"/>
        <w:bottom w:w="0" w:type="dxa"/>
        <w:right w:w="0" w:type="dxa"/>
      </w:tblCellMar>
    </w:tblPr>
  </w:style>
  <w:style w:type="paragraph" w:customStyle="1" w:styleId="12">
    <w:name w:val="Table Paragraph"/>
    <w:basedOn w:val="1"/>
    <w:qFormat/>
    <w:uiPriority w:val="1"/>
    <w:pPr>
      <w:widowControl/>
      <w:jc w:val="left"/>
    </w:pPr>
    <w:rPr>
      <w:kern w:val="0"/>
      <w:sz w:val="22"/>
    </w:rPr>
  </w:style>
  <w:style w:type="character" w:customStyle="1" w:styleId="13">
    <w:name w:val="页眉 字符"/>
    <w:basedOn w:val="7"/>
    <w:link w:val="4"/>
    <w:qFormat/>
    <w:uiPriority w:val="99"/>
    <w:rPr>
      <w:sz w:val="18"/>
      <w:szCs w:val="18"/>
    </w:rPr>
  </w:style>
  <w:style w:type="character" w:customStyle="1" w:styleId="14">
    <w:name w:val="页脚 字符"/>
    <w:basedOn w:val="7"/>
    <w:link w:val="3"/>
    <w:qFormat/>
    <w:uiPriority w:val="99"/>
    <w:rPr>
      <w:sz w:val="18"/>
      <w:szCs w:val="18"/>
    </w:rPr>
  </w:style>
  <w:style w:type="paragraph" w:customStyle="1" w:styleId="15">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6">
    <w:name w:val="修订3"/>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7">
    <w:name w:val="批注文字 字符"/>
    <w:basedOn w:val="7"/>
    <w:link w:val="2"/>
    <w:semiHidden/>
    <w:qFormat/>
    <w:uiPriority w:val="99"/>
    <w:rPr>
      <w:kern w:val="2"/>
      <w:sz w:val="21"/>
      <w:szCs w:val="22"/>
    </w:rPr>
  </w:style>
  <w:style w:type="character" w:customStyle="1" w:styleId="18">
    <w:name w:val="批注主题 字符"/>
    <w:basedOn w:val="17"/>
    <w:link w:val="5"/>
    <w:semiHidden/>
    <w:qFormat/>
    <w:uiPriority w:val="99"/>
    <w:rPr>
      <w:b/>
      <w:bCs/>
      <w:kern w:val="2"/>
      <w:sz w:val="21"/>
      <w:szCs w:val="22"/>
    </w:rPr>
  </w:style>
  <w:style w:type="paragraph" w:customStyle="1" w:styleId="19">
    <w:name w:val="Revision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0">
    <w:name w:val="Revision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Kamstrup</Company>
  <Pages>4</Pages>
  <Words>1268</Words>
  <Characters>7228</Characters>
  <Lines>60</Lines>
  <Paragraphs>16</Paragraphs>
  <TotalTime>1</TotalTime>
  <ScaleCrop>false</ScaleCrop>
  <LinksUpToDate>false</LinksUpToDate>
  <CharactersWithSpaces>8480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2024-04-16T01:15:00Z</dcterms:created>
  <dc:creator>wang Daisy</dc:creator>
  <cp:lastModifiedBy>俞</cp:lastModifiedBy>
  <dcterms:modified xsi:type="dcterms:W3CDTF">2024-04-19T01:25:14Z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68101CCB35C84728A0AC9EA5055823C1</vt:lpwstr>
  </property>
</Properties>
</file>