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56" w:beforeLines="50" w:after="156" w:afterLines="50" w:line="240" w:lineRule="atLeast"/>
        <w:jc w:val="center"/>
        <w:rPr>
          <w:color w:val="000000"/>
          <w:sz w:val="36"/>
          <w:szCs w:val="36"/>
        </w:rPr>
      </w:pPr>
      <w:r>
        <w:rPr>
          <w:color w:val="000000"/>
          <w:sz w:val="36"/>
          <w:szCs w:val="36"/>
        </w:rPr>
        <w:t>保密协议</w:t>
      </w:r>
    </w:p>
    <w:p>
      <w:pPr>
        <w:wordWrap w:val="0"/>
        <w:spacing w:before="156" w:beforeLines="50" w:after="156" w:afterLines="50" w:line="240" w:lineRule="atLeast"/>
        <w:rPr>
          <w:rFonts w:cs="宋体-18030"/>
          <w:bCs/>
          <w:color w:val="000000"/>
          <w:sz w:val="24"/>
          <w:szCs w:val="21"/>
        </w:rPr>
      </w:pPr>
    </w:p>
    <w:p>
      <w:pPr>
        <w:wordWrap w:val="0"/>
        <w:spacing w:before="156" w:beforeLines="50" w:after="156" w:afterLines="50" w:line="240" w:lineRule="atLeast"/>
        <w:rPr>
          <w:color w:val="000000"/>
          <w:sz w:val="24"/>
          <w:szCs w:val="24"/>
        </w:rPr>
      </w:pPr>
      <w:r>
        <w:rPr>
          <w:rFonts w:hint="eastAsia"/>
          <w:color w:val="000000"/>
          <w:sz w:val="24"/>
          <w:szCs w:val="24"/>
        </w:rPr>
        <w:t>本保密协议（“本协议”)由以下双方签署：</w:t>
      </w:r>
    </w:p>
    <w:p>
      <w:pPr>
        <w:wordWrap w:val="0"/>
        <w:spacing w:before="156" w:beforeLines="50" w:after="156" w:afterLines="50" w:line="240" w:lineRule="atLeast"/>
        <w:rPr>
          <w:color w:val="000000"/>
          <w:sz w:val="24"/>
          <w:szCs w:val="24"/>
        </w:rPr>
      </w:pPr>
    </w:p>
    <w:p>
      <w:pPr>
        <w:wordWrap w:val="0"/>
        <w:spacing w:before="120" w:beforeLines="50" w:after="120" w:afterLines="50" w:line="240" w:lineRule="atLeast"/>
        <w:rPr>
          <w:snapToGrid/>
          <w:color w:val="auto"/>
          <w:sz w:val="24"/>
        </w:rPr>
      </w:pPr>
      <w:r>
        <w:rPr>
          <w:rFonts w:hint="eastAsia"/>
          <w:b/>
          <w:bCs/>
          <w:snapToGrid/>
          <w:color w:val="auto"/>
          <w:sz w:val="24"/>
        </w:rPr>
        <w:t>甲方</w:t>
      </w:r>
      <w:r>
        <w:rPr>
          <w:rFonts w:hint="eastAsia"/>
          <w:b/>
          <w:snapToGrid/>
          <w:color w:val="auto"/>
          <w:sz w:val="24"/>
        </w:rPr>
        <w:t>：上海农村商业银行股份有限公司</w:t>
      </w:r>
    </w:p>
    <w:p>
      <w:pPr>
        <w:wordWrap w:val="0"/>
        <w:spacing w:before="120" w:beforeLines="50" w:after="120" w:afterLines="50" w:line="240" w:lineRule="atLeast"/>
        <w:rPr>
          <w:rFonts w:hint="eastAsia"/>
          <w:bCs/>
          <w:snapToGrid/>
          <w:color w:val="auto"/>
          <w:sz w:val="24"/>
        </w:rPr>
      </w:pPr>
      <w:r>
        <w:rPr>
          <w:rFonts w:hint="eastAsia"/>
          <w:bCs/>
          <w:snapToGrid/>
          <w:color w:val="auto"/>
          <w:sz w:val="24"/>
        </w:rPr>
        <w:t>法定代表人（负责人）：</w:t>
      </w:r>
    </w:p>
    <w:p>
      <w:pPr>
        <w:wordWrap w:val="0"/>
        <w:spacing w:before="120" w:beforeLines="50" w:after="120" w:afterLines="50" w:line="240" w:lineRule="atLeast"/>
        <w:rPr>
          <w:rFonts w:hint="eastAsia"/>
          <w:bCs/>
          <w:snapToGrid/>
          <w:color w:val="auto"/>
          <w:sz w:val="24"/>
        </w:rPr>
      </w:pPr>
      <w:r>
        <w:rPr>
          <w:rFonts w:hint="eastAsia"/>
          <w:bCs/>
          <w:snapToGrid/>
          <w:color w:val="auto"/>
          <w:sz w:val="24"/>
        </w:rPr>
        <w:t>通讯地址：</w:t>
      </w:r>
    </w:p>
    <w:p>
      <w:pPr>
        <w:wordWrap w:val="0"/>
        <w:spacing w:before="120" w:beforeLines="50" w:after="120" w:afterLines="50" w:line="240" w:lineRule="atLeast"/>
        <w:rPr>
          <w:rFonts w:hint="eastAsia"/>
          <w:color w:val="auto"/>
          <w:sz w:val="24"/>
        </w:rPr>
      </w:pPr>
      <w:r>
        <w:rPr>
          <w:rFonts w:hint="eastAsia"/>
          <w:bCs/>
          <w:snapToGrid/>
          <w:color w:val="auto"/>
          <w:sz w:val="24"/>
        </w:rPr>
        <w:t>邮政编码：</w:t>
      </w:r>
    </w:p>
    <w:p>
      <w:pPr>
        <w:wordWrap w:val="0"/>
        <w:spacing w:before="120" w:beforeLines="50" w:after="120" w:afterLines="50" w:line="240" w:lineRule="atLeast"/>
        <w:rPr>
          <w:rFonts w:ascii="宋体" w:hAnsi="宋体"/>
          <w:color w:val="auto"/>
          <w:sz w:val="24"/>
        </w:rPr>
      </w:pPr>
      <w:r>
        <w:rPr>
          <w:rFonts w:hint="eastAsia" w:ascii="宋体" w:hAnsi="宋体"/>
          <w:color w:val="auto"/>
          <w:sz w:val="24"/>
        </w:rPr>
        <w:t>固定电话：</w:t>
      </w:r>
    </w:p>
    <w:p>
      <w:pPr>
        <w:wordWrap w:val="0"/>
        <w:spacing w:before="120" w:beforeLines="50" w:after="120" w:afterLines="50" w:line="240" w:lineRule="atLeast"/>
        <w:rPr>
          <w:snapToGrid/>
          <w:color w:val="auto"/>
          <w:sz w:val="24"/>
          <w:u w:val="single"/>
        </w:rPr>
      </w:pPr>
      <w:r>
        <w:rPr>
          <w:rFonts w:hint="eastAsia" w:ascii="宋体" w:hAnsi="宋体"/>
          <w:color w:val="auto"/>
          <w:sz w:val="24"/>
        </w:rPr>
        <w:t>联系传真：</w:t>
      </w:r>
      <w:bookmarkStart w:id="0" w:name="_GoBack"/>
      <w:bookmarkEnd w:id="0"/>
    </w:p>
    <w:p>
      <w:pPr>
        <w:wordWrap w:val="0"/>
        <w:spacing w:before="156" w:beforeLines="50" w:after="156" w:afterLines="50" w:line="240" w:lineRule="atLeast"/>
        <w:rPr>
          <w:b/>
          <w:bCs/>
          <w:color w:val="000000"/>
          <w:sz w:val="24"/>
          <w:szCs w:val="40"/>
        </w:rPr>
      </w:pPr>
    </w:p>
    <w:p>
      <w:pPr>
        <w:wordWrap w:val="0"/>
        <w:spacing w:before="156" w:beforeLines="50" w:after="156" w:afterLines="50" w:line="240" w:lineRule="atLeast"/>
        <w:rPr>
          <w:color w:val="000000"/>
          <w:sz w:val="24"/>
          <w:u w:val="none"/>
        </w:rPr>
      </w:pPr>
      <w:r>
        <w:rPr>
          <w:rFonts w:hint="eastAsia"/>
          <w:b/>
          <w:color w:val="000000"/>
          <w:sz w:val="24"/>
        </w:rPr>
        <w:t>乙方</w:t>
      </w:r>
      <w:r>
        <w:rPr>
          <w:rFonts w:hint="eastAsia"/>
          <w:color w:val="000000"/>
          <w:sz w:val="24"/>
          <w:u w:val="none"/>
        </w:rPr>
        <w:t>：</w:t>
      </w:r>
      <w:r>
        <w:rPr>
          <w:rFonts w:hint="eastAsia"/>
          <w:b/>
          <w:bCs/>
          <w:color w:val="000000"/>
          <w:sz w:val="24"/>
          <w:u w:val="none"/>
        </w:rPr>
        <w:t>联想凌拓科技有限公司</w:t>
      </w:r>
    </w:p>
    <w:p>
      <w:pPr>
        <w:wordWrap w:val="0"/>
        <w:spacing w:before="156" w:beforeLines="50" w:after="156" w:afterLines="50" w:line="240" w:lineRule="atLeast"/>
        <w:rPr>
          <w:color w:val="000000"/>
          <w:sz w:val="24"/>
          <w:u w:val="none"/>
        </w:rPr>
      </w:pPr>
      <w:r>
        <w:rPr>
          <w:rFonts w:hint="eastAsia"/>
          <w:color w:val="000000"/>
          <w:sz w:val="24"/>
          <w:u w:val="none"/>
        </w:rPr>
        <w:t>注册地址：</w:t>
      </w:r>
    </w:p>
    <w:p>
      <w:pPr>
        <w:wordWrap w:val="0"/>
        <w:spacing w:before="156" w:beforeLines="50" w:after="156" w:afterLines="50" w:line="240" w:lineRule="atLeast"/>
        <w:rPr>
          <w:color w:val="000000"/>
          <w:sz w:val="24"/>
          <w:u w:val="none"/>
        </w:rPr>
      </w:pPr>
      <w:r>
        <w:rPr>
          <w:rFonts w:hint="eastAsia"/>
          <w:color w:val="000000"/>
          <w:sz w:val="24"/>
          <w:u w:val="none"/>
        </w:rPr>
        <w:t>邮政编码：</w:t>
      </w:r>
    </w:p>
    <w:p>
      <w:pPr>
        <w:wordWrap w:val="0"/>
        <w:spacing w:before="156" w:beforeLines="50" w:after="156" w:afterLines="50" w:line="240" w:lineRule="atLeast"/>
        <w:rPr>
          <w:color w:val="000000"/>
          <w:sz w:val="24"/>
          <w:u w:val="none"/>
        </w:rPr>
      </w:pPr>
      <w:r>
        <w:rPr>
          <w:rFonts w:hint="eastAsia"/>
          <w:color w:val="000000"/>
          <w:sz w:val="24"/>
          <w:u w:val="none"/>
        </w:rPr>
        <w:t>通讯地址：</w:t>
      </w:r>
    </w:p>
    <w:p>
      <w:pPr>
        <w:wordWrap w:val="0"/>
        <w:spacing w:before="156" w:beforeLines="50" w:after="156" w:afterLines="50" w:line="240" w:lineRule="atLeast"/>
        <w:rPr>
          <w:color w:val="000000"/>
          <w:sz w:val="24"/>
          <w:u w:val="none"/>
        </w:rPr>
      </w:pPr>
      <w:r>
        <w:rPr>
          <w:rFonts w:hint="eastAsia"/>
          <w:color w:val="000000"/>
          <w:sz w:val="24"/>
          <w:u w:val="none"/>
        </w:rPr>
        <w:t>法定代表人：</w:t>
      </w:r>
    </w:p>
    <w:p>
      <w:pPr>
        <w:wordWrap w:val="0"/>
        <w:spacing w:before="156" w:beforeLines="50" w:after="156" w:afterLines="50" w:line="240" w:lineRule="atLeast"/>
        <w:rPr>
          <w:color w:val="000000"/>
          <w:sz w:val="24"/>
          <w:u w:val="none"/>
        </w:rPr>
      </w:pPr>
      <w:r>
        <w:rPr>
          <w:rFonts w:hint="eastAsia"/>
          <w:color w:val="000000"/>
          <w:sz w:val="24"/>
          <w:u w:val="none"/>
        </w:rPr>
        <w:t>固定电话：</w:t>
      </w:r>
    </w:p>
    <w:p>
      <w:pPr>
        <w:wordWrap w:val="0"/>
        <w:spacing w:before="156" w:beforeLines="50" w:after="156" w:afterLines="50" w:line="240" w:lineRule="atLeast"/>
        <w:rPr>
          <w:color w:val="000000"/>
          <w:sz w:val="24"/>
          <w:u w:val="none"/>
        </w:rPr>
      </w:pPr>
      <w:r>
        <w:rPr>
          <w:rFonts w:hint="eastAsia"/>
          <w:color w:val="000000"/>
          <w:sz w:val="24"/>
          <w:u w:val="none"/>
        </w:rPr>
        <w:t>移动电话：</w:t>
      </w:r>
    </w:p>
    <w:p>
      <w:pPr>
        <w:wordWrap w:val="0"/>
        <w:spacing w:before="156" w:beforeLines="50" w:after="156" w:afterLines="50" w:line="240" w:lineRule="atLeast"/>
        <w:rPr>
          <w:color w:val="000000"/>
          <w:sz w:val="24"/>
          <w:u w:val="none"/>
        </w:rPr>
      </w:pPr>
      <w:r>
        <w:rPr>
          <w:rFonts w:hint="eastAsia"/>
          <w:color w:val="000000"/>
          <w:sz w:val="24"/>
          <w:u w:val="none"/>
        </w:rPr>
        <w:t>电子邮箱：</w:t>
      </w:r>
    </w:p>
    <w:p>
      <w:pPr>
        <w:wordWrap/>
        <w:spacing w:before="0" w:beforeLines="-2147483648" w:after="0" w:afterLines="-2147483648" w:line="240" w:lineRule="auto"/>
        <w:rPr>
          <w:color w:val="000000"/>
          <w:sz w:val="24"/>
        </w:rPr>
      </w:pPr>
      <w:r>
        <w:rPr>
          <w:color w:val="000000"/>
          <w:sz w:val="24"/>
        </w:rPr>
        <w:br w:type="page"/>
      </w:r>
    </w:p>
    <w:p>
      <w:pPr>
        <w:pStyle w:val="2"/>
      </w:pPr>
    </w:p>
    <w:p>
      <w:pPr>
        <w:wordWrap w:val="0"/>
        <w:spacing w:before="156" w:beforeLines="50" w:after="156" w:afterLines="50" w:line="240" w:lineRule="atLeast"/>
        <w:rPr>
          <w:color w:val="000000"/>
          <w:sz w:val="24"/>
          <w:szCs w:val="24"/>
        </w:rPr>
      </w:pPr>
    </w:p>
    <w:p>
      <w:pPr>
        <w:spacing w:before="156" w:beforeLines="50" w:after="156" w:afterLines="50" w:line="240" w:lineRule="exact"/>
        <w:ind w:firstLine="482" w:firstLineChars="200"/>
        <w:rPr>
          <w:sz w:val="24"/>
          <w:szCs w:val="24"/>
        </w:rPr>
      </w:pPr>
      <w:r>
        <w:rPr>
          <w:rFonts w:hint="eastAsia"/>
          <w:b/>
          <w:color w:val="000000"/>
          <w:sz w:val="24"/>
        </w:rPr>
        <w:t>为使甲、乙双方拥有的保密信息得到有效保护，双方本着诚实守信的态度和融合共赢的原则，经协商一致，达成如下条款，以资共同遵守：</w:t>
      </w:r>
    </w:p>
    <w:p>
      <w:pPr>
        <w:pStyle w:val="4"/>
        <w:numPr>
          <w:ilvl w:val="0"/>
          <w:numId w:val="1"/>
        </w:numPr>
        <w:wordWrap w:val="0"/>
        <w:spacing w:before="156" w:beforeLines="50" w:after="156" w:afterLines="50" w:line="240" w:lineRule="atLeast"/>
        <w:ind w:left="0" w:firstLine="0"/>
        <w:jc w:val="center"/>
        <w:outlineLvl w:val="0"/>
        <w:rPr>
          <w:b/>
          <w:color w:val="000000"/>
          <w:sz w:val="24"/>
        </w:rPr>
      </w:pPr>
      <w:r>
        <w:rPr>
          <w:rFonts w:hint="eastAsia"/>
          <w:b/>
          <w:color w:val="000000"/>
          <w:sz w:val="24"/>
        </w:rPr>
        <w:t>定义</w:t>
      </w:r>
    </w:p>
    <w:p>
      <w:pPr>
        <w:wordWrap w:val="0"/>
        <w:spacing w:before="156" w:beforeLines="50" w:after="156" w:afterLines="50" w:line="240" w:lineRule="atLeast"/>
        <w:rPr>
          <w:color w:val="000000"/>
          <w:sz w:val="24"/>
          <w:szCs w:val="24"/>
        </w:rPr>
      </w:pPr>
    </w:p>
    <w:p>
      <w:pPr>
        <w:wordWrap w:val="0"/>
        <w:spacing w:before="156" w:beforeLines="50" w:after="156" w:afterLines="50" w:line="240" w:lineRule="atLeast"/>
        <w:ind w:firstLine="480" w:firstLineChars="200"/>
        <w:rPr>
          <w:color w:val="000000"/>
          <w:sz w:val="24"/>
          <w:szCs w:val="24"/>
        </w:rPr>
      </w:pPr>
      <w:r>
        <w:rPr>
          <w:rFonts w:hint="eastAsia"/>
          <w:color w:val="000000"/>
          <w:sz w:val="24"/>
          <w:szCs w:val="24"/>
        </w:rPr>
        <w:t>本协议所使用的下列词句或词组，除本协议中另有约定或根据上下文应另作解释以外，应具有如下含义：</w:t>
      </w:r>
    </w:p>
    <w:p>
      <w:pPr>
        <w:numPr>
          <w:ilvl w:val="0"/>
          <w:numId w:val="2"/>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保密信息：指甲方向乙方披露的涉密信息，包括下述任何一项或多项：</w:t>
      </w:r>
    </w:p>
    <w:p>
      <w:pPr>
        <w:numPr>
          <w:ilvl w:val="0"/>
          <w:numId w:val="3"/>
        </w:numPr>
        <w:wordWrap w:val="0"/>
        <w:spacing w:before="156" w:beforeLines="50" w:after="156" w:afterLines="50" w:line="240" w:lineRule="atLeast"/>
        <w:ind w:left="1259" w:hanging="777"/>
        <w:jc w:val="left"/>
        <w:rPr>
          <w:color w:val="000000"/>
          <w:sz w:val="24"/>
          <w:szCs w:val="24"/>
        </w:rPr>
      </w:pPr>
      <w:r>
        <w:rPr>
          <w:rFonts w:hint="eastAsia"/>
          <w:color w:val="000000"/>
          <w:sz w:val="24"/>
          <w:szCs w:val="24"/>
        </w:rPr>
        <w:t>涉及甲方发展战略及规划、信息系统、业务、资产、财务、经营、人事等信息；</w:t>
      </w:r>
    </w:p>
    <w:p>
      <w:pPr>
        <w:numPr>
          <w:ilvl w:val="0"/>
          <w:numId w:val="3"/>
        </w:numPr>
        <w:wordWrap w:val="0"/>
        <w:spacing w:before="156" w:beforeLines="50" w:after="156" w:afterLines="50" w:line="240" w:lineRule="atLeast"/>
        <w:ind w:left="1259" w:hanging="777"/>
        <w:jc w:val="left"/>
        <w:rPr>
          <w:color w:val="000000"/>
          <w:sz w:val="24"/>
          <w:szCs w:val="24"/>
        </w:rPr>
      </w:pPr>
      <w:r>
        <w:rPr>
          <w:rFonts w:hint="eastAsia"/>
          <w:color w:val="000000"/>
          <w:sz w:val="24"/>
          <w:szCs w:val="24"/>
        </w:rPr>
        <w:t>甲方已经获得或正在申请的知识产权项下的任何信息，或其他未公开的技术决窍；</w:t>
      </w:r>
    </w:p>
    <w:p>
      <w:pPr>
        <w:numPr>
          <w:ilvl w:val="0"/>
          <w:numId w:val="3"/>
        </w:numPr>
        <w:wordWrap w:val="0"/>
        <w:spacing w:before="156" w:beforeLines="50" w:after="156" w:afterLines="50" w:line="240" w:lineRule="atLeast"/>
        <w:ind w:left="1259" w:hanging="777"/>
        <w:jc w:val="left"/>
        <w:rPr>
          <w:color w:val="000000"/>
          <w:sz w:val="24"/>
          <w:szCs w:val="24"/>
        </w:rPr>
      </w:pPr>
      <w:r>
        <w:rPr>
          <w:rFonts w:hint="eastAsia"/>
          <w:color w:val="000000"/>
          <w:sz w:val="24"/>
          <w:szCs w:val="24"/>
        </w:rPr>
        <w:t>甲方专有的任何带有“秘密”“机密”“绝密”字样的文件，以及一方的各项规章制度；</w:t>
      </w:r>
    </w:p>
    <w:p>
      <w:pPr>
        <w:numPr>
          <w:ilvl w:val="0"/>
          <w:numId w:val="3"/>
        </w:numPr>
        <w:wordWrap w:val="0"/>
        <w:spacing w:before="156" w:beforeLines="50" w:after="156" w:afterLines="50" w:line="240" w:lineRule="atLeast"/>
        <w:ind w:left="1259" w:hanging="777"/>
        <w:jc w:val="left"/>
        <w:rPr>
          <w:color w:val="000000"/>
          <w:sz w:val="24"/>
          <w:szCs w:val="24"/>
        </w:rPr>
      </w:pPr>
      <w:r>
        <w:rPr>
          <w:rFonts w:hint="eastAsia"/>
          <w:color w:val="000000"/>
          <w:sz w:val="24"/>
          <w:szCs w:val="24"/>
        </w:rPr>
        <w:t>涉及乙方产品相关的合同、约定、产生的数据、信息、代码、程序及其他文档材料等；</w:t>
      </w:r>
    </w:p>
    <w:p>
      <w:pPr>
        <w:numPr>
          <w:ilvl w:val="0"/>
          <w:numId w:val="3"/>
        </w:numPr>
        <w:wordWrap w:val="0"/>
        <w:spacing w:before="156" w:beforeLines="50" w:after="156" w:afterLines="50" w:line="240" w:lineRule="atLeast"/>
        <w:ind w:left="1259" w:hanging="777"/>
        <w:jc w:val="left"/>
        <w:rPr>
          <w:color w:val="000000"/>
          <w:sz w:val="24"/>
          <w:szCs w:val="24"/>
        </w:rPr>
      </w:pPr>
      <w:r>
        <w:rPr>
          <w:rFonts w:hint="eastAsia"/>
          <w:color w:val="000000"/>
          <w:sz w:val="24"/>
          <w:szCs w:val="24"/>
        </w:rPr>
        <w:t>其他甲方提供给乙方的信息。</w:t>
      </w:r>
    </w:p>
    <w:p>
      <w:pPr>
        <w:wordWrap w:val="0"/>
        <w:spacing w:before="156" w:beforeLines="50" w:after="156" w:afterLines="50" w:line="240" w:lineRule="atLeast"/>
        <w:ind w:left="1259"/>
        <w:rPr>
          <w:color w:val="000000"/>
          <w:sz w:val="24"/>
          <w:szCs w:val="24"/>
        </w:rPr>
      </w:pPr>
      <w:r>
        <w:rPr>
          <w:rFonts w:hint="eastAsia"/>
          <w:color w:val="000000"/>
          <w:sz w:val="24"/>
          <w:szCs w:val="24"/>
        </w:rPr>
        <w:t>上述保密信息无论以何种形式存在（包括但不限于数据、图表、胶片、光盘、文件、计算机媒介和网络），也无论是否以口头、文件、演示或其他形式提供，也无论是否记载或标注为保密信息（本条第一款第三项除外），均不影响其在本协议项下的保密性质。但上述保密信息不包括：</w:t>
      </w:r>
    </w:p>
    <w:p>
      <w:pPr>
        <w:numPr>
          <w:ilvl w:val="1"/>
          <w:numId w:val="4"/>
        </w:numPr>
        <w:wordWrap w:val="0"/>
        <w:spacing w:before="156" w:beforeLines="50" w:after="156" w:afterLines="50" w:line="240" w:lineRule="atLeast"/>
        <w:ind w:left="1701"/>
        <w:jc w:val="left"/>
        <w:rPr>
          <w:color w:val="000000"/>
          <w:sz w:val="24"/>
          <w:szCs w:val="24"/>
        </w:rPr>
      </w:pPr>
      <w:r>
        <w:rPr>
          <w:rFonts w:hint="eastAsia"/>
          <w:color w:val="000000"/>
          <w:sz w:val="24"/>
          <w:szCs w:val="24"/>
        </w:rPr>
        <w:t>在不违反本协议的情形下，已为公众所知的信息；</w:t>
      </w:r>
    </w:p>
    <w:p>
      <w:pPr>
        <w:numPr>
          <w:ilvl w:val="1"/>
          <w:numId w:val="4"/>
        </w:numPr>
        <w:wordWrap w:val="0"/>
        <w:spacing w:before="156" w:beforeLines="50" w:after="156" w:afterLines="50" w:line="240" w:lineRule="atLeast"/>
        <w:ind w:left="1701"/>
        <w:jc w:val="left"/>
        <w:rPr>
          <w:color w:val="000000"/>
          <w:sz w:val="24"/>
          <w:szCs w:val="24"/>
        </w:rPr>
      </w:pPr>
      <w:r>
        <w:rPr>
          <w:rFonts w:hint="eastAsia"/>
          <w:color w:val="000000"/>
          <w:sz w:val="24"/>
          <w:szCs w:val="24"/>
        </w:rPr>
        <w:t>在甲方向乙方披露该等保密信息时，乙方已经知悉该等保密信息且对此无保密义务（但甲方表示乙方必须就该等保密信息予以保密的除外）；</w:t>
      </w:r>
    </w:p>
    <w:p>
      <w:pPr>
        <w:numPr>
          <w:ilvl w:val="1"/>
          <w:numId w:val="4"/>
        </w:numPr>
        <w:wordWrap w:val="0"/>
        <w:spacing w:before="156" w:beforeLines="50" w:after="156" w:afterLines="50" w:line="240" w:lineRule="atLeast"/>
        <w:ind w:left="1701"/>
        <w:jc w:val="left"/>
        <w:rPr>
          <w:color w:val="000000"/>
          <w:sz w:val="24"/>
          <w:szCs w:val="24"/>
        </w:rPr>
      </w:pPr>
      <w:r>
        <w:rPr>
          <w:rFonts w:hint="eastAsia"/>
          <w:color w:val="000000"/>
          <w:sz w:val="24"/>
          <w:szCs w:val="24"/>
        </w:rPr>
        <w:t>乙方合法地从第三方处得知的信息，并且该第三方向乙方作出的披露并不违反任何其应当承担的保密义务（无论该保密义务是基于协议/合同的约定产生，还是根据法律、法规的规定所产生）；</w:t>
      </w:r>
    </w:p>
    <w:p>
      <w:pPr>
        <w:numPr>
          <w:ilvl w:val="1"/>
          <w:numId w:val="4"/>
        </w:numPr>
        <w:wordWrap w:val="0"/>
        <w:spacing w:before="156" w:beforeLines="50" w:after="156" w:afterLines="50" w:line="240" w:lineRule="atLeast"/>
        <w:ind w:left="1701"/>
        <w:jc w:val="left"/>
        <w:rPr>
          <w:color w:val="000000"/>
          <w:sz w:val="24"/>
          <w:szCs w:val="24"/>
        </w:rPr>
      </w:pPr>
      <w:r>
        <w:rPr>
          <w:rFonts w:hint="eastAsia"/>
          <w:color w:val="000000"/>
          <w:sz w:val="24"/>
          <w:szCs w:val="24"/>
        </w:rPr>
        <w:t>甲方明确表示该信息已不属于其保密范围之内。</w:t>
      </w:r>
    </w:p>
    <w:p>
      <w:pPr>
        <w:numPr>
          <w:ilvl w:val="0"/>
          <w:numId w:val="2"/>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甲方：指披露其保密信息的一方。</w:t>
      </w:r>
    </w:p>
    <w:p>
      <w:pPr>
        <w:numPr>
          <w:ilvl w:val="0"/>
          <w:numId w:val="2"/>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乙方：指获知、收到保密信息的一方。</w:t>
      </w:r>
    </w:p>
    <w:p>
      <w:pPr>
        <w:numPr>
          <w:ilvl w:val="0"/>
          <w:numId w:val="2"/>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雇员：指被聘用或服务于乙方的人员，无论该人员是否获得报酬，也无论其服务期限为长期、短期还是临时。</w:t>
      </w:r>
    </w:p>
    <w:p>
      <w:pPr>
        <w:wordWrap w:val="0"/>
        <w:spacing w:before="156" w:beforeLines="50" w:after="156" w:afterLines="50" w:line="240" w:lineRule="atLeast"/>
        <w:rPr>
          <w:color w:val="000000"/>
          <w:sz w:val="24"/>
          <w:szCs w:val="24"/>
        </w:rPr>
      </w:pPr>
    </w:p>
    <w:p>
      <w:pPr>
        <w:pStyle w:val="4"/>
        <w:numPr>
          <w:ilvl w:val="0"/>
          <w:numId w:val="1"/>
        </w:numPr>
        <w:wordWrap w:val="0"/>
        <w:spacing w:before="156" w:beforeLines="50" w:after="156" w:afterLines="50" w:line="240" w:lineRule="atLeast"/>
        <w:ind w:left="0" w:firstLine="0"/>
        <w:jc w:val="center"/>
        <w:outlineLvl w:val="0"/>
        <w:rPr>
          <w:b/>
          <w:color w:val="000000"/>
          <w:sz w:val="24"/>
        </w:rPr>
      </w:pPr>
      <w:r>
        <w:rPr>
          <w:rFonts w:hint="eastAsia"/>
          <w:b/>
          <w:color w:val="000000"/>
          <w:sz w:val="24"/>
        </w:rPr>
        <w:t>乙方的保密义务</w:t>
      </w:r>
    </w:p>
    <w:p>
      <w:pPr>
        <w:wordWrap w:val="0"/>
        <w:spacing w:before="156" w:beforeLines="50" w:after="156" w:afterLines="50" w:line="240" w:lineRule="atLeast"/>
        <w:rPr>
          <w:color w:val="000000"/>
          <w:sz w:val="24"/>
          <w:szCs w:val="24"/>
        </w:rPr>
      </w:pPr>
    </w:p>
    <w:p>
      <w:pPr>
        <w:numPr>
          <w:ilvl w:val="0"/>
          <w:numId w:val="5"/>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应对其从甲方处获知、收到的所有保密信息予以严格保密，确保保密信息不被本协议以外的其他方直接或间接接触、获悉。</w:t>
      </w:r>
    </w:p>
    <w:p>
      <w:pPr>
        <w:numPr>
          <w:ilvl w:val="0"/>
          <w:numId w:val="5"/>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除以下情况外，不得将保密信息用于为满足甲方需求提供产品以外的其他目的，也不得将保密信息再披露给本协议以外的其他方：</w:t>
      </w:r>
    </w:p>
    <w:p>
      <w:pPr>
        <w:numPr>
          <w:ilvl w:val="0"/>
          <w:numId w:val="6"/>
        </w:numPr>
        <w:wordWrap w:val="0"/>
        <w:spacing w:before="156" w:beforeLines="50" w:after="156" w:afterLines="50" w:line="240" w:lineRule="atLeast"/>
        <w:ind w:left="1259" w:hanging="777"/>
        <w:jc w:val="left"/>
        <w:rPr>
          <w:color w:val="000000"/>
          <w:sz w:val="24"/>
          <w:szCs w:val="24"/>
        </w:rPr>
      </w:pPr>
      <w:r>
        <w:rPr>
          <w:rFonts w:hint="eastAsia"/>
          <w:color w:val="000000"/>
          <w:sz w:val="24"/>
          <w:szCs w:val="24"/>
        </w:rPr>
        <w:t>根据中国法律、法规的规定，或司法、行政、金融监管部门的合法要求对外披露的；</w:t>
      </w:r>
    </w:p>
    <w:p>
      <w:pPr>
        <w:numPr>
          <w:ilvl w:val="0"/>
          <w:numId w:val="6"/>
        </w:numPr>
        <w:wordWrap w:val="0"/>
        <w:spacing w:before="156" w:beforeLines="50" w:after="156" w:afterLines="50" w:line="240" w:lineRule="atLeast"/>
        <w:ind w:left="1259" w:hanging="777"/>
        <w:jc w:val="left"/>
        <w:rPr>
          <w:color w:val="000000"/>
          <w:sz w:val="24"/>
          <w:szCs w:val="24"/>
        </w:rPr>
      </w:pPr>
      <w:r>
        <w:rPr>
          <w:rFonts w:hint="eastAsia"/>
          <w:color w:val="000000"/>
          <w:sz w:val="24"/>
          <w:szCs w:val="24"/>
        </w:rPr>
        <w:t>依有关规定向其上级机构披露的；</w:t>
      </w:r>
    </w:p>
    <w:p>
      <w:pPr>
        <w:numPr>
          <w:ilvl w:val="0"/>
          <w:numId w:val="6"/>
        </w:numPr>
        <w:wordWrap w:val="0"/>
        <w:spacing w:before="156" w:beforeLines="50" w:after="156" w:afterLines="50" w:line="240" w:lineRule="atLeast"/>
        <w:ind w:left="1259" w:hanging="777"/>
        <w:jc w:val="left"/>
        <w:rPr>
          <w:color w:val="000000"/>
          <w:sz w:val="24"/>
          <w:szCs w:val="24"/>
        </w:rPr>
      </w:pPr>
      <w:r>
        <w:rPr>
          <w:rFonts w:hint="eastAsia"/>
          <w:color w:val="000000"/>
          <w:sz w:val="24"/>
          <w:szCs w:val="24"/>
        </w:rPr>
        <w:t>仅向确需接触保密信息和负责处理保密信息的雇员、中介机构提供保密信息；</w:t>
      </w:r>
    </w:p>
    <w:p>
      <w:pPr>
        <w:numPr>
          <w:ilvl w:val="0"/>
          <w:numId w:val="6"/>
        </w:numPr>
        <w:wordWrap w:val="0"/>
        <w:spacing w:before="156" w:beforeLines="50" w:after="156" w:afterLines="50" w:line="240" w:lineRule="atLeast"/>
        <w:ind w:left="1259" w:hanging="777"/>
        <w:jc w:val="left"/>
        <w:rPr>
          <w:color w:val="000000"/>
          <w:sz w:val="24"/>
          <w:szCs w:val="24"/>
        </w:rPr>
      </w:pPr>
      <w:r>
        <w:rPr>
          <w:rFonts w:hint="eastAsia"/>
          <w:color w:val="000000"/>
          <w:sz w:val="24"/>
          <w:szCs w:val="24"/>
        </w:rPr>
        <w:t>经甲方书面同意而对外披露的。</w:t>
      </w:r>
    </w:p>
    <w:p>
      <w:pPr>
        <w:numPr>
          <w:ilvl w:val="0"/>
          <w:numId w:val="5"/>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在本条第二款情况下披露保密信息的，除法律、法规另有规定或司法、行政、金融监管部门另有要求外，对可能造成甲方不良影响的，乙方应在披露保密信息前书面告知甲方，并采取必要措施以减轻对甲方的不良影响。</w:t>
      </w:r>
    </w:p>
    <w:p>
      <w:pPr>
        <w:numPr>
          <w:ilvl w:val="0"/>
          <w:numId w:val="5"/>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确保本条第二款第三项中所提及的雇员和中介机构了解保密信息的涉密性及其对甲方所负有的保密义务。一旦雇员及中介机构违反本协议所规定的保密义务，应视同于乙方对本协议的违反，并应由乙方承担本协议所约定的违约责任。乙方应仅在为了满足甲方需求的目的所必需的程度范围内，向员工提供访问数据的权限。</w:t>
      </w:r>
    </w:p>
    <w:p>
      <w:pPr>
        <w:numPr>
          <w:ilvl w:val="0"/>
          <w:numId w:val="5"/>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除为满足甲方需求所必须外所必需以外，不得复制或部分复制甲方提供的保密信息，或以其他方式制作副本、备份等。</w:t>
      </w:r>
    </w:p>
    <w:p>
      <w:pPr>
        <w:numPr>
          <w:ilvl w:val="0"/>
          <w:numId w:val="5"/>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除为内部留底并经甲方确认以外，在甲方根据主合同的约定提出合理请求或甲方不再使用乙方产品，根据甲方的要求，向甲方返还相关保密信息的所有书面及电子形式的文件、记录、资料（包括其副本和复制品），或者销毁上述文件、记录、资料并按照甲方要求出具相关承诺函。</w:t>
      </w:r>
    </w:p>
    <w:p>
      <w:pPr>
        <w:wordWrap w:val="0"/>
        <w:spacing w:before="156" w:beforeLines="50" w:after="156" w:afterLines="50" w:line="240" w:lineRule="atLeast"/>
        <w:rPr>
          <w:color w:val="000000"/>
          <w:sz w:val="24"/>
          <w:szCs w:val="24"/>
        </w:rPr>
      </w:pPr>
    </w:p>
    <w:p>
      <w:pPr>
        <w:pStyle w:val="4"/>
        <w:numPr>
          <w:ilvl w:val="0"/>
          <w:numId w:val="1"/>
        </w:numPr>
        <w:wordWrap w:val="0"/>
        <w:spacing w:before="156" w:beforeLines="50" w:after="156" w:afterLines="50" w:line="240" w:lineRule="atLeast"/>
        <w:ind w:left="0" w:firstLine="0"/>
        <w:jc w:val="center"/>
        <w:outlineLvl w:val="0"/>
        <w:rPr>
          <w:b/>
          <w:color w:val="000000"/>
          <w:sz w:val="24"/>
        </w:rPr>
      </w:pPr>
      <w:r>
        <w:rPr>
          <w:rFonts w:hint="eastAsia"/>
          <w:b/>
          <w:color w:val="000000"/>
          <w:sz w:val="24"/>
        </w:rPr>
        <w:t>违约责任</w:t>
      </w:r>
    </w:p>
    <w:p>
      <w:pPr>
        <w:wordWrap w:val="0"/>
        <w:spacing w:before="156" w:beforeLines="50" w:after="156" w:afterLines="50" w:line="240" w:lineRule="atLeast"/>
        <w:rPr>
          <w:color w:val="000000"/>
          <w:sz w:val="24"/>
          <w:szCs w:val="24"/>
        </w:rPr>
      </w:pPr>
    </w:p>
    <w:p>
      <w:pPr>
        <w:numPr>
          <w:ilvl w:val="0"/>
          <w:numId w:val="7"/>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一旦乙方违反本协议的约定，甲方有权要求乙方承担下述各项违约责任：</w:t>
      </w:r>
    </w:p>
    <w:p>
      <w:pPr>
        <w:numPr>
          <w:ilvl w:val="0"/>
          <w:numId w:val="8"/>
        </w:numPr>
        <w:wordWrap w:val="0"/>
        <w:spacing w:before="156" w:beforeLines="50" w:after="156" w:afterLines="50" w:line="240" w:lineRule="atLeast"/>
        <w:jc w:val="left"/>
        <w:rPr>
          <w:color w:val="000000"/>
          <w:sz w:val="24"/>
          <w:szCs w:val="24"/>
        </w:rPr>
      </w:pPr>
      <w:r>
        <w:rPr>
          <w:rFonts w:hint="eastAsia"/>
          <w:color w:val="000000"/>
          <w:sz w:val="24"/>
          <w:szCs w:val="24"/>
        </w:rPr>
        <w:t>立即停止违反本协议的行为；</w:t>
      </w:r>
    </w:p>
    <w:p>
      <w:pPr>
        <w:numPr>
          <w:ilvl w:val="0"/>
          <w:numId w:val="8"/>
        </w:numPr>
        <w:wordWrap w:val="0"/>
        <w:spacing w:before="156" w:beforeLines="50" w:after="156" w:afterLines="50" w:line="240" w:lineRule="atLeast"/>
        <w:ind w:left="1259" w:hanging="777"/>
        <w:jc w:val="left"/>
        <w:rPr>
          <w:color w:val="000000"/>
          <w:sz w:val="24"/>
          <w:szCs w:val="24"/>
        </w:rPr>
      </w:pPr>
      <w:r>
        <w:rPr>
          <w:rFonts w:hint="eastAsia"/>
          <w:color w:val="000000"/>
          <w:sz w:val="24"/>
          <w:szCs w:val="24"/>
        </w:rPr>
        <w:t>采取一切有效措施防止保密信息泄露范围继续扩大；</w:t>
      </w:r>
    </w:p>
    <w:p>
      <w:pPr>
        <w:numPr>
          <w:ilvl w:val="0"/>
          <w:numId w:val="8"/>
        </w:numPr>
        <w:wordWrap w:val="0"/>
        <w:spacing w:before="156" w:beforeLines="50" w:after="156" w:afterLines="50" w:line="240" w:lineRule="atLeast"/>
        <w:ind w:left="1259" w:hanging="777"/>
        <w:jc w:val="left"/>
        <w:rPr>
          <w:color w:val="000000"/>
          <w:sz w:val="24"/>
          <w:szCs w:val="24"/>
        </w:rPr>
      </w:pPr>
      <w:r>
        <w:rPr>
          <w:rFonts w:hint="eastAsia"/>
          <w:color w:val="000000"/>
          <w:sz w:val="24"/>
          <w:szCs w:val="24"/>
        </w:rPr>
        <w:t>赔偿因违反本协议而给甲方造成的损失。</w:t>
      </w:r>
    </w:p>
    <w:p>
      <w:pPr>
        <w:numPr>
          <w:ilvl w:val="0"/>
          <w:numId w:val="7"/>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上述本条第一款所规定的责任并不免除乙方依据本协议所适用的法律应当承担的其他责任，也不限制甲方采取其他法律救济措施。</w:t>
      </w:r>
    </w:p>
    <w:p>
      <w:pPr>
        <w:wordWrap w:val="0"/>
        <w:spacing w:before="156" w:beforeLines="50" w:after="156" w:afterLines="50" w:line="240" w:lineRule="atLeast"/>
        <w:rPr>
          <w:color w:val="000000"/>
          <w:sz w:val="24"/>
          <w:szCs w:val="24"/>
        </w:rPr>
      </w:pPr>
    </w:p>
    <w:p>
      <w:pPr>
        <w:pStyle w:val="4"/>
        <w:numPr>
          <w:ilvl w:val="0"/>
          <w:numId w:val="1"/>
        </w:numPr>
        <w:wordWrap w:val="0"/>
        <w:spacing w:before="156" w:beforeLines="50" w:after="156" w:afterLines="50" w:line="240" w:lineRule="atLeast"/>
        <w:ind w:left="0" w:firstLine="0"/>
        <w:jc w:val="center"/>
        <w:outlineLvl w:val="0"/>
        <w:rPr>
          <w:b/>
          <w:color w:val="000000"/>
          <w:sz w:val="24"/>
        </w:rPr>
      </w:pPr>
      <w:r>
        <w:rPr>
          <w:rFonts w:hint="eastAsia"/>
          <w:b/>
          <w:color w:val="000000"/>
          <w:sz w:val="24"/>
        </w:rPr>
        <w:t>保密期限</w:t>
      </w:r>
    </w:p>
    <w:p>
      <w:pPr>
        <w:wordWrap w:val="0"/>
        <w:spacing w:before="156" w:beforeLines="50" w:after="156" w:afterLines="50" w:line="240" w:lineRule="atLeast"/>
        <w:rPr>
          <w:color w:val="000000"/>
          <w:sz w:val="24"/>
          <w:szCs w:val="24"/>
        </w:rPr>
      </w:pPr>
    </w:p>
    <w:p>
      <w:pPr>
        <w:wordWrap w:val="0"/>
        <w:spacing w:before="156" w:beforeLines="50" w:after="156" w:afterLines="50" w:line="240" w:lineRule="atLeast"/>
        <w:ind w:firstLine="480" w:firstLineChars="200"/>
        <w:rPr>
          <w:color w:val="000000"/>
          <w:sz w:val="24"/>
          <w:szCs w:val="24"/>
        </w:rPr>
      </w:pPr>
      <w:r>
        <w:rPr>
          <w:rFonts w:hint="eastAsia" w:ascii="宋体" w:hAnsi="宋体"/>
          <w:color w:val="000000"/>
          <w:sz w:val="24"/>
          <w:szCs w:val="24"/>
        </w:rPr>
        <w:t>自本协议生效之日起至上述保密信息进入公开领域止。</w:t>
      </w:r>
    </w:p>
    <w:p>
      <w:pPr>
        <w:wordWrap w:val="0"/>
        <w:spacing w:before="156" w:beforeLines="50" w:after="156" w:afterLines="50" w:line="240" w:lineRule="atLeast"/>
        <w:rPr>
          <w:b/>
          <w:color w:val="000000"/>
          <w:sz w:val="24"/>
          <w:szCs w:val="24"/>
        </w:rPr>
      </w:pPr>
    </w:p>
    <w:p>
      <w:pPr>
        <w:pStyle w:val="4"/>
        <w:numPr>
          <w:ilvl w:val="0"/>
          <w:numId w:val="1"/>
        </w:numPr>
        <w:wordWrap w:val="0"/>
        <w:spacing w:before="156" w:beforeLines="50" w:after="156" w:afterLines="50" w:line="240" w:lineRule="atLeast"/>
        <w:ind w:left="0" w:firstLine="0"/>
        <w:jc w:val="center"/>
        <w:outlineLvl w:val="0"/>
        <w:rPr>
          <w:b/>
          <w:color w:val="000000"/>
          <w:sz w:val="24"/>
        </w:rPr>
      </w:pPr>
      <w:r>
        <w:rPr>
          <w:rFonts w:hint="eastAsia"/>
          <w:b/>
          <w:color w:val="000000"/>
          <w:sz w:val="24"/>
        </w:rPr>
        <w:t>适用法律及争议解决</w:t>
      </w:r>
    </w:p>
    <w:p>
      <w:pPr>
        <w:wordWrap w:val="0"/>
        <w:spacing w:before="156" w:beforeLines="50" w:after="156" w:afterLines="50" w:line="240" w:lineRule="atLeast"/>
        <w:rPr>
          <w:color w:val="000000"/>
          <w:sz w:val="24"/>
          <w:szCs w:val="24"/>
        </w:rPr>
      </w:pPr>
    </w:p>
    <w:p>
      <w:pPr>
        <w:wordWrap w:val="0"/>
        <w:spacing w:before="156" w:beforeLines="50" w:after="156" w:afterLines="50" w:line="240" w:lineRule="atLeast"/>
        <w:ind w:firstLine="480" w:firstLineChars="200"/>
        <w:rPr>
          <w:color w:val="000000"/>
          <w:sz w:val="24"/>
          <w:szCs w:val="24"/>
        </w:rPr>
      </w:pPr>
      <w:r>
        <w:rPr>
          <w:rFonts w:hint="eastAsia"/>
          <w:color w:val="000000"/>
          <w:sz w:val="24"/>
          <w:szCs w:val="24"/>
        </w:rPr>
        <w:t>本协议适用中华人民共和国法律（为本协议之目的，不包括香港特别行政区、澳门特别行政区和台湾地区的法律）。因本协议引起的或与本协议有关的任何争议，双方应友好协商解决。如协商无法解决，应提交甲方所在地有管辖权的人民法院诉讼解决。</w:t>
      </w:r>
    </w:p>
    <w:p>
      <w:pPr>
        <w:wordWrap w:val="0"/>
        <w:spacing w:before="156" w:beforeLines="50" w:after="156" w:afterLines="50" w:line="240" w:lineRule="atLeast"/>
        <w:rPr>
          <w:color w:val="000000"/>
          <w:sz w:val="24"/>
          <w:szCs w:val="24"/>
        </w:rPr>
      </w:pPr>
    </w:p>
    <w:p>
      <w:pPr>
        <w:pStyle w:val="4"/>
        <w:numPr>
          <w:ilvl w:val="0"/>
          <w:numId w:val="1"/>
        </w:numPr>
        <w:wordWrap w:val="0"/>
        <w:spacing w:before="156" w:beforeLines="50" w:after="156" w:afterLines="50" w:line="240" w:lineRule="atLeast"/>
        <w:ind w:left="0" w:firstLine="0"/>
        <w:jc w:val="center"/>
        <w:outlineLvl w:val="0"/>
        <w:rPr>
          <w:b/>
          <w:color w:val="000000"/>
          <w:sz w:val="24"/>
        </w:rPr>
      </w:pPr>
      <w:r>
        <w:rPr>
          <w:rFonts w:hint="eastAsia"/>
          <w:b/>
          <w:color w:val="000000"/>
          <w:sz w:val="24"/>
        </w:rPr>
        <w:t>其他约定</w:t>
      </w:r>
    </w:p>
    <w:p>
      <w:pPr>
        <w:pStyle w:val="4"/>
        <w:widowControl w:val="0"/>
        <w:numPr>
          <w:ilvl w:val="0"/>
          <w:numId w:val="0"/>
        </w:numPr>
        <w:wordWrap w:val="0"/>
        <w:spacing w:before="156" w:beforeLines="50" w:after="156" w:afterLines="50" w:line="240" w:lineRule="atLeast"/>
        <w:jc w:val="both"/>
        <w:outlineLvl w:val="0"/>
        <w:rPr>
          <w:b/>
          <w:color w:val="000000"/>
          <w:sz w:val="24"/>
        </w:rPr>
      </w:pPr>
    </w:p>
    <w:p>
      <w:pPr>
        <w:wordWrap w:val="0"/>
        <w:spacing w:before="156" w:beforeLines="50" w:after="156" w:afterLines="50" w:line="240" w:lineRule="atLeast"/>
        <w:ind w:firstLine="720" w:firstLineChars="300"/>
        <w:rPr>
          <w:rFonts w:hint="eastAsia"/>
          <w:color w:val="000000"/>
          <w:sz w:val="24"/>
          <w:lang w:val="en-US" w:eastAsia="zh-CN"/>
        </w:rPr>
      </w:pPr>
      <w:r>
        <w:rPr>
          <w:rFonts w:hint="eastAsia"/>
          <w:color w:val="000000"/>
          <w:sz w:val="24"/>
          <w:lang w:val="en-US" w:eastAsia="zh-CN"/>
        </w:rPr>
        <w:t>无。</w:t>
      </w:r>
    </w:p>
    <w:p>
      <w:pPr>
        <w:wordWrap w:val="0"/>
        <w:spacing w:before="156" w:beforeLines="50" w:after="156" w:afterLines="50" w:line="240" w:lineRule="atLeast"/>
        <w:ind w:firstLine="720" w:firstLineChars="300"/>
        <w:rPr>
          <w:rFonts w:hint="eastAsia"/>
          <w:color w:val="000000"/>
          <w:sz w:val="24"/>
          <w:lang w:val="en-US" w:eastAsia="zh-CN"/>
        </w:rPr>
      </w:pPr>
    </w:p>
    <w:p>
      <w:pPr>
        <w:pStyle w:val="4"/>
        <w:numPr>
          <w:ilvl w:val="0"/>
          <w:numId w:val="1"/>
        </w:numPr>
        <w:wordWrap w:val="0"/>
        <w:spacing w:before="156" w:beforeLines="50" w:after="156" w:afterLines="50" w:line="240" w:lineRule="atLeast"/>
        <w:ind w:left="0" w:firstLine="0"/>
        <w:jc w:val="center"/>
        <w:outlineLvl w:val="0"/>
        <w:rPr>
          <w:b/>
          <w:color w:val="000000"/>
          <w:sz w:val="24"/>
        </w:rPr>
      </w:pPr>
      <w:r>
        <w:rPr>
          <w:rFonts w:hint="eastAsia"/>
          <w:b/>
          <w:color w:val="000000"/>
          <w:sz w:val="24"/>
        </w:rPr>
        <w:t>附则</w:t>
      </w:r>
    </w:p>
    <w:p>
      <w:pPr>
        <w:wordWrap w:val="0"/>
        <w:spacing w:before="156" w:beforeLines="50" w:after="156" w:afterLines="50" w:line="240" w:lineRule="atLeast"/>
        <w:rPr>
          <w:color w:val="000000"/>
          <w:sz w:val="24"/>
          <w:szCs w:val="24"/>
        </w:rPr>
      </w:pPr>
    </w:p>
    <w:p>
      <w:pPr>
        <w:numPr>
          <w:ilvl w:val="0"/>
          <w:numId w:val="9"/>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本协议自双方签订之日起生效。</w:t>
      </w:r>
    </w:p>
    <w:p>
      <w:pPr>
        <w:numPr>
          <w:ilvl w:val="0"/>
          <w:numId w:val="9"/>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本协议一式</w:t>
      </w:r>
      <w:r>
        <w:rPr>
          <w:rFonts w:hint="eastAsia"/>
          <w:color w:val="000000"/>
          <w:sz w:val="24"/>
          <w:szCs w:val="24"/>
          <w:lang w:val="en-US" w:eastAsia="zh-CN"/>
        </w:rPr>
        <w:t>肆</w:t>
      </w:r>
      <w:r>
        <w:rPr>
          <w:rFonts w:hint="eastAsia"/>
          <w:color w:val="000000"/>
          <w:sz w:val="24"/>
          <w:szCs w:val="24"/>
        </w:rPr>
        <w:t>份，双方各执</w:t>
      </w:r>
      <w:r>
        <w:rPr>
          <w:rFonts w:hint="eastAsia"/>
          <w:color w:val="000000"/>
          <w:sz w:val="24"/>
          <w:szCs w:val="24"/>
          <w:lang w:val="en-US" w:eastAsia="zh-CN"/>
        </w:rPr>
        <w:t>贰</w:t>
      </w:r>
      <w:r>
        <w:rPr>
          <w:rFonts w:hint="eastAsia"/>
          <w:color w:val="000000"/>
          <w:sz w:val="24"/>
          <w:szCs w:val="24"/>
        </w:rPr>
        <w:t>份。</w:t>
      </w:r>
    </w:p>
    <w:p>
      <w:pPr>
        <w:numPr>
          <w:ilvl w:val="0"/>
          <w:numId w:val="9"/>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与本协议有关的通知事项，均应以书面形式按本协议首页列明的通讯地址（一方另行书面通知对方变更地址的，按新地址）送达对方。</w:t>
      </w:r>
    </w:p>
    <w:p>
      <w:pPr>
        <w:numPr>
          <w:ilvl w:val="0"/>
          <w:numId w:val="9"/>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通知以快递方式送出的，则对方签收之日视为送达对方；通知以信函邮寄方式送出的，则信函发出之日起的第三个工作日视为送达对方。</w:t>
      </w:r>
    </w:p>
    <w:p>
      <w:pPr>
        <w:numPr>
          <w:ilvl w:val="0"/>
          <w:numId w:val="9"/>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双方提供的联系地址、电子终端（包括传真号码、电子邮箱）将作为本协议项下信息通知及争议解决的送达地址。确认的送达地址适用于包括一审、二审、再审、执行等各个争议解决阶段。</w:t>
      </w:r>
    </w:p>
    <w:p>
      <w:pPr>
        <w:numPr>
          <w:ilvl w:val="0"/>
          <w:numId w:val="9"/>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如果本协议履行过程中送达地址发生变更，乙方应及时告知甲方变更后的地址。</w:t>
      </w:r>
    </w:p>
    <w:p>
      <w:pPr>
        <w:numPr>
          <w:ilvl w:val="0"/>
          <w:numId w:val="9"/>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除上述约定外，受诉法院或其他争议解决机构邮寄至送达地址即视为有效送达。如争议解决期间送达地址变更，乙方应及时告知甲方及争议解决机构变更后的地址。</w:t>
      </w:r>
    </w:p>
    <w:p>
      <w:pPr>
        <w:numPr>
          <w:ilvl w:val="0"/>
          <w:numId w:val="9"/>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如果提供的送达地址不确切、不及时告知变更后的地址，受送达人本人或受送达人指定的代收人拒绝签收，导致法律文书未能被受送达人实际接收的文书退回之日视为送达之日。</w:t>
      </w:r>
    </w:p>
    <w:p>
      <w:pPr>
        <w:wordWrap w:val="0"/>
        <w:spacing w:before="156" w:beforeLines="50" w:after="156" w:afterLines="50" w:line="240" w:lineRule="atLeast"/>
        <w:jc w:val="left"/>
        <w:rPr>
          <w:color w:val="000000"/>
          <w:sz w:val="24"/>
          <w:szCs w:val="24"/>
        </w:rPr>
      </w:pPr>
    </w:p>
    <w:p>
      <w:pPr>
        <w:wordWrap w:val="0"/>
        <w:spacing w:before="156" w:beforeLines="50" w:after="156" w:afterLines="50" w:line="240" w:lineRule="atLeast"/>
        <w:rPr>
          <w:color w:val="000000"/>
        </w:rPr>
      </w:pPr>
      <w:r>
        <w:rPr>
          <w:sz w:val="24"/>
          <w:szCs w:val="24"/>
        </w:rPr>
        <w:br w:type="page"/>
      </w:r>
      <w:r>
        <w:rPr>
          <w:rFonts w:hint="eastAsia" w:cs="Times"/>
          <w:b/>
          <w:color w:val="000000"/>
          <w:sz w:val="24"/>
        </w:rPr>
        <w:t>（本页为签署页）</w:t>
      </w:r>
    </w:p>
    <w:p>
      <w:pPr>
        <w:wordWrap w:val="0"/>
        <w:spacing w:before="156" w:beforeLines="50" w:after="156" w:afterLines="50" w:line="240" w:lineRule="atLeast"/>
        <w:ind w:firstLine="482" w:firstLineChars="200"/>
        <w:rPr>
          <w:rFonts w:cs="Times"/>
          <w:b/>
          <w:color w:val="000000"/>
          <w:sz w:val="24"/>
          <w:u w:val="single"/>
        </w:rPr>
      </w:pPr>
    </w:p>
    <w:p>
      <w:pPr>
        <w:wordWrap w:val="0"/>
        <w:spacing w:before="156" w:beforeLines="50" w:after="156" w:afterLines="50" w:line="240" w:lineRule="atLeast"/>
        <w:rPr>
          <w:b/>
          <w:color w:val="000000"/>
          <w:sz w:val="24"/>
          <w:u w:val="single"/>
        </w:rPr>
      </w:pPr>
      <w:r>
        <w:rPr>
          <w:rFonts w:hint="eastAsia" w:cs="Times"/>
          <w:b/>
          <w:color w:val="000000"/>
          <w:sz w:val="24"/>
          <w:u w:val="single"/>
        </w:rPr>
        <w:t>特别提示：甲方已提请乙方注意对本协议各条款作全面、准确的理解，并应乙方的要求对条款作了相应的条款说明。签约双方对本协议的含义及各条约定认识一致。</w:t>
      </w:r>
    </w:p>
    <w:p>
      <w:pPr>
        <w:spacing w:before="156" w:beforeLines="50" w:after="156" w:afterLines="50" w:line="240" w:lineRule="atLeast"/>
        <w:rPr>
          <w:rFonts w:cs="Arial Unicode MS"/>
          <w:color w:val="000000"/>
          <w:sz w:val="24"/>
          <w:szCs w:val="24"/>
        </w:rPr>
      </w:pPr>
    </w:p>
    <w:tbl>
      <w:tblPr>
        <w:tblStyle w:val="7"/>
        <w:tblW w:w="0" w:type="auto"/>
        <w:tblInd w:w="0" w:type="dxa"/>
        <w:tblLayout w:type="fixed"/>
        <w:tblCellMar>
          <w:top w:w="0" w:type="dxa"/>
          <w:left w:w="108" w:type="dxa"/>
          <w:bottom w:w="0" w:type="dxa"/>
          <w:right w:w="108" w:type="dxa"/>
        </w:tblCellMar>
      </w:tblPr>
      <w:tblGrid>
        <w:gridCol w:w="2122"/>
        <w:gridCol w:w="2139"/>
        <w:gridCol w:w="2729"/>
        <w:gridCol w:w="1532"/>
      </w:tblGrid>
      <w:tr>
        <w:tblPrEx>
          <w:tblCellMar>
            <w:top w:w="0" w:type="dxa"/>
            <w:left w:w="108" w:type="dxa"/>
            <w:bottom w:w="0" w:type="dxa"/>
            <w:right w:w="108" w:type="dxa"/>
          </w:tblCellMar>
        </w:tblPrEx>
        <w:tc>
          <w:tcPr>
            <w:tcW w:w="4261" w:type="dxa"/>
            <w:gridSpan w:val="2"/>
          </w:tcPr>
          <w:p>
            <w:pPr>
              <w:pStyle w:val="4"/>
              <w:tabs>
                <w:tab w:val="left" w:pos="5480"/>
              </w:tabs>
              <w:spacing w:before="156" w:beforeLines="50" w:after="156" w:afterLines="50" w:line="240" w:lineRule="atLeast"/>
              <w:ind w:left="187"/>
              <w:rPr>
                <w:rFonts w:ascii="Calibri" w:hAnsi="Calibri" w:cs="Arial Unicode MS"/>
                <w:color w:val="000000"/>
                <w:sz w:val="24"/>
                <w:szCs w:val="24"/>
              </w:rPr>
            </w:pPr>
            <w:r>
              <w:rPr>
                <w:rFonts w:hint="eastAsia" w:ascii="Calibri" w:hAnsi="Calibri" w:cs="Arial Unicode MS"/>
                <w:color w:val="000000"/>
                <w:sz w:val="24"/>
                <w:szCs w:val="24"/>
              </w:rPr>
              <w:t>甲方：</w:t>
            </w:r>
            <w:r>
              <w:rPr>
                <w:rFonts w:ascii="Calibri" w:hAnsi="Calibri" w:cs="Arial Unicode MS"/>
                <w:color w:val="000000"/>
                <w:sz w:val="24"/>
                <w:szCs w:val="24"/>
              </w:rPr>
              <w:t>（盖章）</w:t>
            </w:r>
          </w:p>
          <w:p>
            <w:pPr>
              <w:pStyle w:val="4"/>
              <w:tabs>
                <w:tab w:val="left" w:pos="5480"/>
              </w:tabs>
              <w:spacing w:before="156" w:beforeLines="50" w:after="156" w:afterLines="50" w:line="240" w:lineRule="atLeast"/>
              <w:ind w:left="187"/>
              <w:rPr>
                <w:rFonts w:ascii="Calibri" w:hAnsi="Calibri" w:cs="Arial Unicode MS"/>
                <w:color w:val="000000"/>
                <w:sz w:val="24"/>
                <w:szCs w:val="24"/>
              </w:rPr>
            </w:pPr>
          </w:p>
        </w:tc>
        <w:tc>
          <w:tcPr>
            <w:tcW w:w="4261" w:type="dxa"/>
            <w:gridSpan w:val="2"/>
          </w:tcPr>
          <w:p>
            <w:pPr>
              <w:pStyle w:val="4"/>
              <w:tabs>
                <w:tab w:val="left" w:pos="5480"/>
              </w:tabs>
              <w:spacing w:before="156" w:beforeLines="50" w:after="156" w:afterLines="50" w:line="240" w:lineRule="atLeast"/>
              <w:ind w:left="187"/>
              <w:rPr>
                <w:rFonts w:ascii="Calibri" w:hAnsi="Calibri"/>
                <w:color w:val="000000"/>
                <w:sz w:val="24"/>
                <w:szCs w:val="24"/>
              </w:rPr>
            </w:pPr>
            <w:r>
              <w:rPr>
                <w:rFonts w:hint="eastAsia" w:ascii="Calibri" w:hAnsi="Calibri" w:cs="Arial Unicode MS"/>
                <w:color w:val="000000"/>
                <w:sz w:val="24"/>
                <w:szCs w:val="24"/>
              </w:rPr>
              <w:t>乙方：（</w:t>
            </w:r>
            <w:r>
              <w:rPr>
                <w:rFonts w:ascii="Calibri" w:hAnsi="Calibri"/>
                <w:color w:val="000000"/>
                <w:sz w:val="24"/>
                <w:szCs w:val="24"/>
              </w:rPr>
              <w:t>盖</w:t>
            </w:r>
            <w:r>
              <w:rPr>
                <w:rFonts w:ascii="Calibri" w:hAnsi="Calibri"/>
                <w:color w:val="000000"/>
                <w:spacing w:val="-37"/>
                <w:sz w:val="24"/>
                <w:szCs w:val="24"/>
              </w:rPr>
              <w:t>章</w:t>
            </w:r>
            <w:r>
              <w:rPr>
                <w:rFonts w:ascii="Calibri" w:hAnsi="Calibri"/>
                <w:color w:val="000000"/>
                <w:sz w:val="24"/>
                <w:szCs w:val="24"/>
              </w:rPr>
              <w:t>）</w:t>
            </w:r>
          </w:p>
          <w:p>
            <w:pPr>
              <w:pStyle w:val="4"/>
              <w:tabs>
                <w:tab w:val="left" w:pos="5480"/>
              </w:tabs>
              <w:spacing w:before="156" w:beforeLines="50" w:after="156" w:afterLines="50" w:line="240" w:lineRule="atLeast"/>
              <w:ind w:left="187"/>
              <w:rPr>
                <w:rFonts w:ascii="Calibri" w:hAnsi="Calibri" w:cs="Arial Unicode MS"/>
                <w:color w:val="000000"/>
                <w:sz w:val="24"/>
                <w:szCs w:val="24"/>
              </w:rPr>
            </w:pPr>
          </w:p>
          <w:p>
            <w:pPr>
              <w:pStyle w:val="4"/>
              <w:tabs>
                <w:tab w:val="left" w:pos="5480"/>
              </w:tabs>
              <w:spacing w:before="156" w:beforeLines="50" w:after="156" w:afterLines="50" w:line="240" w:lineRule="atLeast"/>
              <w:ind w:left="187"/>
              <w:rPr>
                <w:rFonts w:ascii="Calibri" w:hAnsi="Calibri" w:cs="Arial Unicode MS"/>
                <w:color w:val="000000"/>
                <w:sz w:val="24"/>
                <w:szCs w:val="24"/>
              </w:rPr>
            </w:pPr>
          </w:p>
        </w:tc>
      </w:tr>
      <w:tr>
        <w:tblPrEx>
          <w:tblCellMar>
            <w:top w:w="0" w:type="dxa"/>
            <w:left w:w="108" w:type="dxa"/>
            <w:bottom w:w="0" w:type="dxa"/>
            <w:right w:w="108" w:type="dxa"/>
          </w:tblCellMar>
        </w:tblPrEx>
        <w:trPr>
          <w:trHeight w:val="729" w:hRule="atLeast"/>
        </w:trPr>
        <w:tc>
          <w:tcPr>
            <w:tcW w:w="4261" w:type="dxa"/>
            <w:gridSpan w:val="2"/>
          </w:tcPr>
          <w:p>
            <w:pPr>
              <w:pStyle w:val="4"/>
              <w:tabs>
                <w:tab w:val="left" w:pos="5480"/>
              </w:tabs>
              <w:spacing w:before="156" w:beforeLines="50" w:after="156" w:afterLines="50" w:line="240" w:lineRule="atLeast"/>
              <w:ind w:left="187"/>
              <w:rPr>
                <w:rFonts w:ascii="Calibri" w:hAnsi="Calibri" w:cs="Arial Unicode MS"/>
                <w:color w:val="000000"/>
                <w:sz w:val="24"/>
                <w:szCs w:val="24"/>
              </w:rPr>
            </w:pPr>
            <w:r>
              <w:rPr>
                <w:rFonts w:ascii="Calibri" w:hAnsi="Calibri" w:cs="Arial Unicode MS"/>
                <w:color w:val="000000"/>
                <w:sz w:val="24"/>
                <w:szCs w:val="24"/>
              </w:rPr>
              <w:t>法定代表人（负责人）或委托代理人</w:t>
            </w:r>
          </w:p>
        </w:tc>
        <w:tc>
          <w:tcPr>
            <w:tcW w:w="4261" w:type="dxa"/>
            <w:gridSpan w:val="2"/>
          </w:tcPr>
          <w:p>
            <w:pPr>
              <w:pStyle w:val="4"/>
              <w:tabs>
                <w:tab w:val="left" w:pos="5480"/>
              </w:tabs>
              <w:spacing w:before="156" w:beforeLines="50" w:after="156" w:afterLines="50" w:line="240" w:lineRule="atLeast"/>
              <w:ind w:left="187"/>
              <w:rPr>
                <w:rFonts w:ascii="Calibri" w:hAnsi="Calibri"/>
                <w:color w:val="000000"/>
                <w:sz w:val="24"/>
                <w:szCs w:val="24"/>
              </w:rPr>
            </w:pPr>
            <w:r>
              <w:rPr>
                <w:rFonts w:ascii="Calibri" w:hAnsi="Calibri"/>
                <w:color w:val="000000"/>
                <w:sz w:val="24"/>
                <w:szCs w:val="24"/>
              </w:rPr>
              <w:t>法定代表人或委托代理人</w:t>
            </w:r>
          </w:p>
          <w:p>
            <w:pPr>
              <w:pStyle w:val="4"/>
              <w:tabs>
                <w:tab w:val="left" w:pos="5480"/>
              </w:tabs>
              <w:spacing w:before="156" w:beforeLines="50" w:after="156" w:afterLines="50" w:line="240" w:lineRule="atLeast"/>
              <w:ind w:left="187"/>
              <w:rPr>
                <w:rFonts w:ascii="Calibri" w:hAnsi="Calibri"/>
                <w:color w:val="000000"/>
                <w:sz w:val="24"/>
                <w:szCs w:val="24"/>
              </w:rPr>
            </w:pPr>
          </w:p>
          <w:p>
            <w:pPr>
              <w:spacing w:before="156" w:beforeLines="50" w:after="156" w:afterLines="50" w:line="240" w:lineRule="atLeast"/>
              <w:rPr>
                <w:rFonts w:ascii="Calibri" w:hAnsi="Calibri" w:cs="Arial Unicode MS"/>
                <w:color w:val="000000"/>
                <w:sz w:val="24"/>
                <w:szCs w:val="24"/>
              </w:rPr>
            </w:pPr>
          </w:p>
        </w:tc>
      </w:tr>
      <w:tr>
        <w:tblPrEx>
          <w:tblCellMar>
            <w:top w:w="0" w:type="dxa"/>
            <w:left w:w="108" w:type="dxa"/>
            <w:bottom w:w="0" w:type="dxa"/>
            <w:right w:w="108" w:type="dxa"/>
          </w:tblCellMar>
        </w:tblPrEx>
        <w:trPr>
          <w:trHeight w:val="219" w:hRule="atLeast"/>
        </w:trPr>
        <w:tc>
          <w:tcPr>
            <w:tcW w:w="4261" w:type="dxa"/>
            <w:gridSpan w:val="2"/>
          </w:tcPr>
          <w:p>
            <w:pPr>
              <w:pStyle w:val="4"/>
              <w:tabs>
                <w:tab w:val="left" w:pos="5480"/>
              </w:tabs>
              <w:spacing w:before="156" w:beforeLines="50" w:after="156" w:afterLines="50" w:line="240" w:lineRule="atLeast"/>
              <w:ind w:left="187"/>
              <w:rPr>
                <w:rFonts w:ascii="Calibri" w:hAnsi="Calibri" w:cs="Arial Unicode MS"/>
                <w:color w:val="000000"/>
                <w:sz w:val="24"/>
                <w:szCs w:val="24"/>
              </w:rPr>
            </w:pPr>
            <w:r>
              <w:rPr>
                <w:rFonts w:ascii="Calibri" w:hAnsi="Calibri" w:cs="Arial Unicode MS"/>
                <w:color w:val="000000"/>
                <w:sz w:val="24"/>
                <w:szCs w:val="24"/>
              </w:rPr>
              <w:t>（签字或盖章）</w:t>
            </w:r>
          </w:p>
        </w:tc>
        <w:tc>
          <w:tcPr>
            <w:tcW w:w="4261" w:type="dxa"/>
            <w:gridSpan w:val="2"/>
          </w:tcPr>
          <w:p>
            <w:pPr>
              <w:pStyle w:val="4"/>
              <w:tabs>
                <w:tab w:val="left" w:pos="5396"/>
              </w:tabs>
              <w:spacing w:before="156" w:beforeLines="50" w:after="156" w:afterLines="50" w:line="240" w:lineRule="atLeast"/>
              <w:ind w:left="103"/>
              <w:rPr>
                <w:rFonts w:ascii="Calibri" w:hAnsi="Calibri"/>
                <w:color w:val="000000"/>
                <w:sz w:val="24"/>
                <w:szCs w:val="24"/>
              </w:rPr>
            </w:pPr>
            <w:r>
              <w:rPr>
                <w:rFonts w:ascii="Calibri" w:hAnsi="Calibri"/>
                <w:color w:val="000000"/>
                <w:spacing w:val="-37"/>
                <w:sz w:val="24"/>
                <w:szCs w:val="24"/>
              </w:rPr>
              <w:t>（</w:t>
            </w:r>
            <w:r>
              <w:rPr>
                <w:rFonts w:ascii="Calibri" w:hAnsi="Calibri"/>
                <w:color w:val="000000"/>
                <w:sz w:val="24"/>
                <w:szCs w:val="24"/>
              </w:rPr>
              <w:t>签字或盖</w:t>
            </w:r>
            <w:r>
              <w:rPr>
                <w:rFonts w:ascii="Calibri" w:hAnsi="Calibri"/>
                <w:color w:val="000000"/>
                <w:spacing w:val="-37"/>
                <w:sz w:val="24"/>
                <w:szCs w:val="24"/>
              </w:rPr>
              <w:t>章</w:t>
            </w:r>
            <w:r>
              <w:rPr>
                <w:rFonts w:ascii="Calibri" w:hAnsi="Calibri"/>
                <w:color w:val="000000"/>
                <w:sz w:val="24"/>
                <w:szCs w:val="24"/>
              </w:rPr>
              <w:t>）</w:t>
            </w:r>
          </w:p>
          <w:p>
            <w:pPr>
              <w:spacing w:before="156" w:beforeLines="50" w:after="156" w:afterLines="50" w:line="240" w:lineRule="atLeast"/>
              <w:rPr>
                <w:rFonts w:ascii="Calibri" w:hAnsi="Calibri"/>
                <w:color w:val="000000"/>
                <w:sz w:val="24"/>
                <w:szCs w:val="24"/>
              </w:rPr>
            </w:pPr>
          </w:p>
          <w:p>
            <w:pPr>
              <w:spacing w:before="156" w:beforeLines="50" w:after="156" w:afterLines="50" w:line="240" w:lineRule="atLeast"/>
              <w:rPr>
                <w:rFonts w:ascii="Calibri" w:hAnsi="Calibri"/>
                <w:color w:val="000000"/>
                <w:sz w:val="24"/>
                <w:szCs w:val="24"/>
              </w:rPr>
            </w:pPr>
          </w:p>
        </w:tc>
      </w:tr>
      <w:tr>
        <w:tblPrEx>
          <w:tblCellMar>
            <w:top w:w="0" w:type="dxa"/>
            <w:left w:w="108" w:type="dxa"/>
            <w:bottom w:w="0" w:type="dxa"/>
            <w:right w:w="108" w:type="dxa"/>
          </w:tblCellMar>
        </w:tblPrEx>
        <w:trPr>
          <w:trHeight w:val="219" w:hRule="atLeast"/>
        </w:trPr>
        <w:tc>
          <w:tcPr>
            <w:tcW w:w="4261" w:type="dxa"/>
            <w:gridSpan w:val="2"/>
          </w:tcPr>
          <w:p>
            <w:pPr>
              <w:pStyle w:val="4"/>
              <w:tabs>
                <w:tab w:val="left" w:pos="5480"/>
              </w:tabs>
              <w:spacing w:before="156" w:beforeLines="50" w:after="156" w:afterLines="50" w:line="240" w:lineRule="atLeast"/>
              <w:ind w:left="187"/>
              <w:rPr>
                <w:rFonts w:ascii="Calibri" w:hAnsi="Calibri" w:cs="Arial Unicode MS"/>
                <w:color w:val="000000"/>
                <w:sz w:val="24"/>
                <w:szCs w:val="24"/>
              </w:rPr>
            </w:pPr>
          </w:p>
        </w:tc>
        <w:tc>
          <w:tcPr>
            <w:tcW w:w="4261" w:type="dxa"/>
            <w:gridSpan w:val="2"/>
          </w:tcPr>
          <w:p>
            <w:pPr>
              <w:pStyle w:val="4"/>
              <w:tabs>
                <w:tab w:val="left" w:pos="5396"/>
              </w:tabs>
              <w:spacing w:before="156" w:beforeLines="50" w:after="156" w:afterLines="50" w:line="240" w:lineRule="atLeast"/>
              <w:ind w:left="103"/>
              <w:rPr>
                <w:rFonts w:ascii="Calibri" w:hAnsi="Calibri"/>
                <w:color w:val="000000"/>
                <w:spacing w:val="-37"/>
                <w:sz w:val="24"/>
                <w:szCs w:val="24"/>
              </w:rPr>
            </w:pPr>
          </w:p>
        </w:tc>
      </w:tr>
      <w:tr>
        <w:tblPrEx>
          <w:tblCellMar>
            <w:top w:w="0" w:type="dxa"/>
            <w:left w:w="108" w:type="dxa"/>
            <w:bottom w:w="0" w:type="dxa"/>
            <w:right w:w="108" w:type="dxa"/>
          </w:tblCellMar>
        </w:tblPrEx>
        <w:trPr>
          <w:gridAfter w:val="1"/>
          <w:wAfter w:w="1532" w:type="dxa"/>
        </w:trPr>
        <w:tc>
          <w:tcPr>
            <w:tcW w:w="2122" w:type="dxa"/>
            <w:shd w:val="clear" w:color="auto" w:fill="auto"/>
          </w:tcPr>
          <w:p>
            <w:pPr>
              <w:wordWrap w:val="0"/>
              <w:spacing w:before="120" w:after="120" w:line="240" w:lineRule="atLeast"/>
              <w:rPr>
                <w:rFonts w:cs="Arial Unicode MS"/>
                <w:color w:val="000000"/>
                <w:kern w:val="0"/>
                <w:sz w:val="24"/>
              </w:rPr>
            </w:pPr>
            <w:r>
              <w:rPr>
                <w:rFonts w:hint="eastAsia"/>
                <w:color w:val="000000"/>
                <w:kern w:val="0"/>
                <w:sz w:val="24"/>
              </w:rPr>
              <w:t>签约日期</w:t>
            </w:r>
            <w:r>
              <w:rPr>
                <w:rFonts w:hint="eastAsia"/>
                <w:color w:val="000000"/>
                <w:kern w:val="0"/>
                <w:sz w:val="24"/>
                <w:u w:color="231F20"/>
              </w:rPr>
              <w:t>：</w:t>
            </w:r>
          </w:p>
        </w:tc>
        <w:tc>
          <w:tcPr>
            <w:tcW w:w="4868" w:type="dxa"/>
            <w:gridSpan w:val="2"/>
            <w:shd w:val="clear" w:color="auto" w:fill="auto"/>
          </w:tcPr>
          <w:p>
            <w:pPr>
              <w:wordWrap w:val="0"/>
              <w:spacing w:before="120" w:after="120" w:line="240" w:lineRule="atLeast"/>
              <w:rPr>
                <w:rFonts w:cs="Arial Unicode MS"/>
                <w:color w:val="000000"/>
                <w:kern w:val="0"/>
                <w:sz w:val="24"/>
                <w:u w:val="single"/>
              </w:rPr>
            </w:pPr>
            <w:r>
              <w:rPr>
                <w:rFonts w:cs="Arial Unicode MS"/>
                <w:color w:val="000000"/>
                <w:kern w:val="0"/>
                <w:sz w:val="24"/>
                <w:u w:val="single"/>
              </w:rPr>
              <w:t xml:space="preserve">         </w:t>
            </w:r>
            <w:r>
              <w:rPr>
                <w:rFonts w:hint="eastAsia" w:cs="Arial Unicode MS"/>
                <w:color w:val="000000"/>
                <w:kern w:val="0"/>
                <w:sz w:val="24"/>
              </w:rPr>
              <w:t>年</w:t>
            </w:r>
            <w:r>
              <w:rPr>
                <w:rFonts w:cs="Arial Unicode MS"/>
                <w:color w:val="000000"/>
                <w:kern w:val="0"/>
                <w:sz w:val="24"/>
                <w:u w:val="single"/>
              </w:rPr>
              <w:t xml:space="preserve">    </w:t>
            </w:r>
            <w:r>
              <w:rPr>
                <w:rFonts w:hint="eastAsia" w:cs="Arial Unicode MS"/>
                <w:color w:val="000000"/>
                <w:kern w:val="0"/>
                <w:sz w:val="24"/>
              </w:rPr>
              <w:t>月</w:t>
            </w:r>
            <w:r>
              <w:rPr>
                <w:rFonts w:cs="Arial Unicode MS"/>
                <w:color w:val="000000"/>
                <w:kern w:val="0"/>
                <w:sz w:val="24"/>
                <w:u w:val="single"/>
              </w:rPr>
              <w:t xml:space="preserve">    </w:t>
            </w:r>
            <w:r>
              <w:rPr>
                <w:rFonts w:hint="eastAsia" w:cs="Arial Unicode MS"/>
                <w:color w:val="000000"/>
                <w:kern w:val="0"/>
                <w:sz w:val="24"/>
              </w:rPr>
              <w:t>日</w:t>
            </w:r>
          </w:p>
        </w:tc>
      </w:tr>
      <w:tr>
        <w:tblPrEx>
          <w:tblCellMar>
            <w:top w:w="0" w:type="dxa"/>
            <w:left w:w="108" w:type="dxa"/>
            <w:bottom w:w="0" w:type="dxa"/>
            <w:right w:w="108" w:type="dxa"/>
          </w:tblCellMar>
        </w:tblPrEx>
        <w:trPr>
          <w:gridAfter w:val="1"/>
          <w:wAfter w:w="1532" w:type="dxa"/>
        </w:trPr>
        <w:tc>
          <w:tcPr>
            <w:tcW w:w="2122" w:type="dxa"/>
            <w:shd w:val="clear" w:color="auto" w:fill="auto"/>
          </w:tcPr>
          <w:p>
            <w:pPr>
              <w:wordWrap w:val="0"/>
              <w:spacing w:before="120" w:after="120" w:line="240" w:lineRule="atLeast"/>
              <w:rPr>
                <w:rFonts w:cs="Arial Unicode MS"/>
                <w:color w:val="000000"/>
                <w:kern w:val="0"/>
                <w:sz w:val="24"/>
              </w:rPr>
            </w:pPr>
            <w:r>
              <w:rPr>
                <w:rFonts w:hint="eastAsia"/>
                <w:color w:val="000000"/>
                <w:kern w:val="0"/>
                <w:sz w:val="24"/>
              </w:rPr>
              <w:t>签约地点</w:t>
            </w:r>
            <w:r>
              <w:rPr>
                <w:rFonts w:hint="eastAsia"/>
                <w:color w:val="000000"/>
                <w:kern w:val="0"/>
                <w:sz w:val="24"/>
                <w:u w:color="231F20"/>
              </w:rPr>
              <w:t>：</w:t>
            </w:r>
          </w:p>
        </w:tc>
        <w:tc>
          <w:tcPr>
            <w:tcW w:w="4868" w:type="dxa"/>
            <w:gridSpan w:val="2"/>
            <w:shd w:val="clear" w:color="auto" w:fill="auto"/>
          </w:tcPr>
          <w:p>
            <w:pPr>
              <w:wordWrap w:val="0"/>
              <w:spacing w:before="120" w:after="120" w:line="240" w:lineRule="atLeast"/>
              <w:rPr>
                <w:rFonts w:cs="Arial Unicode MS"/>
                <w:color w:val="000000"/>
                <w:kern w:val="0"/>
                <w:sz w:val="24"/>
                <w:u w:val="single"/>
              </w:rPr>
            </w:pPr>
            <w:r>
              <w:rPr>
                <w:rFonts w:cs="Arial Unicode MS"/>
                <w:color w:val="000000"/>
                <w:kern w:val="0"/>
                <w:sz w:val="24"/>
                <w:u w:val="single"/>
              </w:rPr>
              <w:t xml:space="preserve">                            </w:t>
            </w:r>
          </w:p>
        </w:tc>
      </w:tr>
    </w:tbl>
    <w:p>
      <w:pPr>
        <w:pStyle w:val="9"/>
        <w:ind w:firstLine="0" w:firstLineChars="0"/>
        <w:rPr>
          <w:sz w:val="24"/>
          <w:szCs w:val="24"/>
        </w:rPr>
      </w:pPr>
    </w:p>
    <w:p/>
    <w:sectPr>
      <w:pgSz w:w="11906" w:h="16838"/>
      <w:pgMar w:top="1440" w:right="1800" w:bottom="1440" w:left="1800" w:header="851" w:footer="992" w:gutter="0"/>
      <w:cols w:space="425" w:num="1"/>
      <w:formProt w:val="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宋体-18030">
    <w:altName w:val="宋体"/>
    <w:panose1 w:val="00000000000000000000"/>
    <w:charset w:val="86"/>
    <w:family w:val="modern"/>
    <w:pitch w:val="default"/>
    <w:sig w:usb0="00000000" w:usb1="00000000" w:usb2="000A005E" w:usb3="00000000" w:csb0="00040001" w:csb1="00000000"/>
  </w:font>
  <w:font w:name="Times">
    <w:altName w:val="Times New Roman"/>
    <w:panose1 w:val="02020603050405020304"/>
    <w:charset w:val="00"/>
    <w:family w:val="roman"/>
    <w:pitch w:val="default"/>
    <w:sig w:usb0="00000000" w:usb1="00000000" w:usb2="00000009" w:usb3="00000000" w:csb0="000001FF" w:csb1="00000000"/>
  </w:font>
  <w:font w:name="Arial Unicode MS">
    <w:altName w:val="宋体"/>
    <w:panose1 w:val="020B0604020202020204"/>
    <w:charset w:val="86"/>
    <w:family w:val="roman"/>
    <w:pitch w:val="default"/>
    <w:sig w:usb0="00000000" w:usb1="00000000" w:usb2="0000003F" w:usb3="00000000" w:csb0="603F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EC073A7"/>
    <w:multiLevelType w:val="multilevel"/>
    <w:tmpl w:val="1EC073A7"/>
    <w:lvl w:ilvl="0" w:tentative="0">
      <w:start w:val="1"/>
      <w:numFmt w:val="decimal"/>
      <w:lvlText w:val="（%1）"/>
      <w:lvlJc w:val="left"/>
      <w:pPr>
        <w:ind w:left="900" w:hanging="420"/>
      </w:pPr>
      <w:rPr>
        <w:rFonts w:ascii="Times New Roman" w:hAnsi="Times New Roman" w:eastAsia="宋体" w:cs="Times New Roman"/>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
    <w:nsid w:val="35862231"/>
    <w:multiLevelType w:val="multilevel"/>
    <w:tmpl w:val="35862231"/>
    <w:lvl w:ilvl="0" w:tentative="0">
      <w:start w:val="1"/>
      <w:numFmt w:val="decimal"/>
      <w:lvlText w:val="（%1）"/>
      <w:lvlJc w:val="left"/>
      <w:pPr>
        <w:ind w:left="900" w:hanging="420"/>
      </w:pPr>
      <w:rPr>
        <w:rFonts w:ascii="Times New Roman" w:hAnsi="Times New Roman" w:eastAsia="宋体" w:cs="Times New Roman"/>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
    <w:nsid w:val="400537B6"/>
    <w:multiLevelType w:val="multilevel"/>
    <w:tmpl w:val="400537B6"/>
    <w:lvl w:ilvl="0" w:tentative="0">
      <w:start w:val="1"/>
      <w:numFmt w:val="lowerLetter"/>
      <w:lvlText w:val="(%1)"/>
      <w:lvlJc w:val="left"/>
      <w:pPr>
        <w:ind w:left="420" w:hanging="420"/>
      </w:pPr>
      <w:rPr>
        <w:rFonts w:hint="default" w:ascii="Times New Roman" w:hAnsi="Times New Roman" w:eastAsia="宋体" w:cs="Times New Roman"/>
        <w:b w:val="0"/>
        <w:sz w:val="24"/>
        <w:szCs w:val="24"/>
      </w:rPr>
    </w:lvl>
    <w:lvl w:ilvl="1" w:tentative="0">
      <w:start w:val="1"/>
      <w:numFmt w:val="lowerLetter"/>
      <w:lvlText w:val="(%2)"/>
      <w:lvlJc w:val="left"/>
      <w:pPr>
        <w:ind w:left="840" w:hanging="420"/>
      </w:pPr>
      <w:rPr>
        <w:rFonts w:hint="default" w:ascii="Times New Roman" w:hAnsi="Times New Roman" w:eastAsia="宋体" w:cs="Times New Roman"/>
        <w:b w:val="0"/>
        <w:sz w:val="24"/>
        <w:szCs w:val="24"/>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4425700D"/>
    <w:multiLevelType w:val="multilevel"/>
    <w:tmpl w:val="4425700D"/>
    <w:lvl w:ilvl="0" w:tentative="0">
      <w:start w:val="1"/>
      <w:numFmt w:val="decimal"/>
      <w:lvlText w:val="%1．"/>
      <w:lvlJc w:val="left"/>
      <w:pPr>
        <w:ind w:left="420" w:hanging="420"/>
      </w:pPr>
      <w:rPr>
        <w:rFonts w:hint="default" w:ascii="Times New Roman" w:hAnsi="Times New Roman" w:eastAsia="宋体" w:cs="Times New Roman"/>
        <w:b w:val="0"/>
        <w:sz w:val="24"/>
        <w:szCs w:val="24"/>
      </w:rPr>
    </w:lvl>
    <w:lvl w:ilvl="1" w:tentative="0">
      <w:start w:val="1"/>
      <w:numFmt w:val="lowerLetter"/>
      <w:lvlText w:val="（%2）"/>
      <w:lvlJc w:val="left"/>
      <w:pPr>
        <w:ind w:left="1140" w:hanging="72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641B2E3E"/>
    <w:multiLevelType w:val="multilevel"/>
    <w:tmpl w:val="641B2E3E"/>
    <w:lvl w:ilvl="0" w:tentative="0">
      <w:start w:val="1"/>
      <w:numFmt w:val="decimal"/>
      <w:lvlText w:val="（%1）"/>
      <w:lvlJc w:val="left"/>
      <w:pPr>
        <w:ind w:left="900" w:hanging="420"/>
      </w:pPr>
      <w:rPr>
        <w:rFonts w:ascii="Times New Roman" w:hAnsi="Times New Roman" w:eastAsia="宋体" w:cs="Times New Roman"/>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5">
    <w:nsid w:val="76D80C35"/>
    <w:multiLevelType w:val="multilevel"/>
    <w:tmpl w:val="76D80C35"/>
    <w:lvl w:ilvl="0" w:tentative="0">
      <w:start w:val="1"/>
      <w:numFmt w:val="decimal"/>
      <w:lvlText w:val="%1．"/>
      <w:lvlJc w:val="left"/>
      <w:pPr>
        <w:ind w:left="420" w:hanging="420"/>
      </w:pPr>
      <w:rPr>
        <w:rFonts w:hint="default" w:ascii="Times New Roman" w:hAnsi="Times New Roman" w:eastAsia="宋体" w:cs="Times New Roman"/>
        <w:b w:val="0"/>
        <w:sz w:val="24"/>
        <w:szCs w:val="24"/>
      </w:rPr>
    </w:lvl>
    <w:lvl w:ilvl="1" w:tentative="0">
      <w:start w:val="1"/>
      <w:numFmt w:val="lowerLetter"/>
      <w:lvlText w:val="（%2）"/>
      <w:lvlJc w:val="left"/>
      <w:pPr>
        <w:ind w:left="1140" w:hanging="720"/>
      </w:pPr>
      <w:rPr>
        <w:rFonts w:hint="default"/>
      </w:rPr>
    </w:lvl>
    <w:lvl w:ilvl="2" w:tentative="0">
      <w:start w:val="1"/>
      <w:numFmt w:val="japaneseCounting"/>
      <w:lvlText w:val="（%3）"/>
      <w:lvlJc w:val="left"/>
      <w:pPr>
        <w:ind w:left="1560" w:hanging="720"/>
      </w:pPr>
      <w:rPr>
        <w:rFonts w:hint="default"/>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7A4A4C1F"/>
    <w:multiLevelType w:val="multilevel"/>
    <w:tmpl w:val="7A4A4C1F"/>
    <w:lvl w:ilvl="0" w:tentative="0">
      <w:start w:val="1"/>
      <w:numFmt w:val="decimal"/>
      <w:lvlText w:val="%1．"/>
      <w:lvlJc w:val="left"/>
      <w:pPr>
        <w:ind w:left="420" w:hanging="420"/>
      </w:pPr>
      <w:rPr>
        <w:rFonts w:hint="default" w:ascii="Times New Roman" w:hAnsi="Times New Roman" w:eastAsia="宋体" w:cs="Times New Roman"/>
        <w:b w:val="0"/>
        <w:sz w:val="24"/>
        <w:szCs w:val="24"/>
      </w:rPr>
    </w:lvl>
    <w:lvl w:ilvl="1" w:tentative="0">
      <w:start w:val="1"/>
      <w:numFmt w:val="lowerLetter"/>
      <w:lvlText w:val="（%2）"/>
      <w:lvlJc w:val="left"/>
      <w:pPr>
        <w:ind w:left="1140" w:hanging="72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7CA6447F"/>
    <w:multiLevelType w:val="multilevel"/>
    <w:tmpl w:val="7CA6447F"/>
    <w:lvl w:ilvl="0" w:tentative="0">
      <w:start w:val="1"/>
      <w:numFmt w:val="japaneseCounting"/>
      <w:lvlText w:val="第%1条"/>
      <w:lvlJc w:val="left"/>
      <w:pPr>
        <w:ind w:left="5042" w:hanging="1440"/>
      </w:pPr>
      <w:rPr>
        <w:rFonts w:hint="default"/>
      </w:rPr>
    </w:lvl>
    <w:lvl w:ilvl="1" w:tentative="0">
      <w:start w:val="1"/>
      <w:numFmt w:val="lowerLetter"/>
      <w:lvlText w:val="%2)"/>
      <w:lvlJc w:val="left"/>
      <w:pPr>
        <w:ind w:left="4442" w:hanging="420"/>
      </w:pPr>
    </w:lvl>
    <w:lvl w:ilvl="2" w:tentative="0">
      <w:start w:val="1"/>
      <w:numFmt w:val="lowerRoman"/>
      <w:lvlText w:val="%3."/>
      <w:lvlJc w:val="right"/>
      <w:pPr>
        <w:ind w:left="4862" w:hanging="420"/>
      </w:pPr>
    </w:lvl>
    <w:lvl w:ilvl="3" w:tentative="0">
      <w:start w:val="1"/>
      <w:numFmt w:val="decimal"/>
      <w:lvlText w:val="%4."/>
      <w:lvlJc w:val="left"/>
      <w:pPr>
        <w:ind w:left="5282" w:hanging="420"/>
      </w:pPr>
    </w:lvl>
    <w:lvl w:ilvl="4" w:tentative="0">
      <w:start w:val="1"/>
      <w:numFmt w:val="lowerLetter"/>
      <w:lvlText w:val="%5)"/>
      <w:lvlJc w:val="left"/>
      <w:pPr>
        <w:ind w:left="5702" w:hanging="420"/>
      </w:pPr>
    </w:lvl>
    <w:lvl w:ilvl="5" w:tentative="0">
      <w:start w:val="1"/>
      <w:numFmt w:val="lowerRoman"/>
      <w:lvlText w:val="%6."/>
      <w:lvlJc w:val="right"/>
      <w:pPr>
        <w:ind w:left="6122" w:hanging="420"/>
      </w:pPr>
    </w:lvl>
    <w:lvl w:ilvl="6" w:tentative="0">
      <w:start w:val="1"/>
      <w:numFmt w:val="decimal"/>
      <w:lvlText w:val="%7."/>
      <w:lvlJc w:val="left"/>
      <w:pPr>
        <w:ind w:left="6542" w:hanging="420"/>
      </w:pPr>
    </w:lvl>
    <w:lvl w:ilvl="7" w:tentative="0">
      <w:start w:val="1"/>
      <w:numFmt w:val="lowerLetter"/>
      <w:lvlText w:val="%8)"/>
      <w:lvlJc w:val="left"/>
      <w:pPr>
        <w:ind w:left="6962" w:hanging="420"/>
      </w:pPr>
    </w:lvl>
    <w:lvl w:ilvl="8" w:tentative="0">
      <w:start w:val="1"/>
      <w:numFmt w:val="lowerRoman"/>
      <w:lvlText w:val="%9."/>
      <w:lvlJc w:val="right"/>
      <w:pPr>
        <w:ind w:left="7382" w:hanging="420"/>
      </w:pPr>
    </w:lvl>
  </w:abstractNum>
  <w:abstractNum w:abstractNumId="8">
    <w:nsid w:val="7CEF3B79"/>
    <w:multiLevelType w:val="multilevel"/>
    <w:tmpl w:val="7CEF3B79"/>
    <w:lvl w:ilvl="0" w:tentative="0">
      <w:start w:val="1"/>
      <w:numFmt w:val="decimal"/>
      <w:lvlText w:val="%1．"/>
      <w:lvlJc w:val="left"/>
      <w:pPr>
        <w:ind w:left="420" w:hanging="420"/>
      </w:pPr>
      <w:rPr>
        <w:rFonts w:hint="default" w:ascii="Times New Roman" w:hAnsi="Times New Roman" w:eastAsia="宋体" w:cs="Times New Roman"/>
        <w:b w:val="0"/>
        <w:sz w:val="24"/>
        <w:szCs w:val="24"/>
      </w:rPr>
    </w:lvl>
    <w:lvl w:ilvl="1" w:tentative="0">
      <w:start w:val="1"/>
      <w:numFmt w:val="lowerLetter"/>
      <w:lvlText w:val="（%2）"/>
      <w:lvlJc w:val="left"/>
      <w:pPr>
        <w:ind w:left="1140" w:hanging="72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7"/>
  </w:num>
  <w:num w:numId="2">
    <w:abstractNumId w:val="3"/>
  </w:num>
  <w:num w:numId="3">
    <w:abstractNumId w:val="1"/>
  </w:num>
  <w:num w:numId="4">
    <w:abstractNumId w:val="2"/>
  </w:num>
  <w:num w:numId="5">
    <w:abstractNumId w:val="6"/>
  </w:num>
  <w:num w:numId="6">
    <w:abstractNumId w:val="4"/>
  </w:num>
  <w:num w:numId="7">
    <w:abstractNumId w:val="5"/>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dit="forms"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710D"/>
    <w:rsid w:val="00496067"/>
    <w:rsid w:val="0058710D"/>
    <w:rsid w:val="0069630C"/>
    <w:rsid w:val="07330A38"/>
    <w:rsid w:val="08DA7E04"/>
    <w:rsid w:val="1F213A77"/>
    <w:rsid w:val="1F4653D1"/>
    <w:rsid w:val="216F3F07"/>
    <w:rsid w:val="2A6721CB"/>
    <w:rsid w:val="35646FA2"/>
    <w:rsid w:val="36197E00"/>
    <w:rsid w:val="361B5B12"/>
    <w:rsid w:val="37040377"/>
    <w:rsid w:val="3C216D12"/>
    <w:rsid w:val="40D06276"/>
    <w:rsid w:val="4297287E"/>
    <w:rsid w:val="474400E0"/>
    <w:rsid w:val="4B4B7977"/>
    <w:rsid w:val="60C83DC8"/>
    <w:rsid w:val="65776B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Normal Indent"/>
    <w:basedOn w:val="1"/>
    <w:qFormat/>
    <w:uiPriority w:val="0"/>
    <w:pPr>
      <w:ind w:firstLine="420"/>
    </w:pPr>
  </w:style>
  <w:style w:type="paragraph" w:styleId="3">
    <w:name w:val="annotation text"/>
    <w:basedOn w:val="1"/>
    <w:qFormat/>
    <w:uiPriority w:val="0"/>
    <w:pPr>
      <w:jc w:val="left"/>
    </w:pPr>
  </w:style>
  <w:style w:type="paragraph" w:styleId="4">
    <w:name w:val="Body Text"/>
    <w:basedOn w:val="1"/>
    <w:qFormat/>
    <w:uiPriority w:val="0"/>
    <w:pPr>
      <w:spacing w:after="120"/>
    </w:pPr>
  </w:style>
  <w:style w:type="paragraph" w:styleId="5">
    <w:name w:val="footer"/>
    <w:basedOn w:val="1"/>
    <w:unhideWhenUsed/>
    <w:qFormat/>
    <w:uiPriority w:val="99"/>
    <w:pPr>
      <w:tabs>
        <w:tab w:val="center" w:pos="4153"/>
        <w:tab w:val="right" w:pos="8306"/>
      </w:tabs>
      <w:snapToGrid w:val="0"/>
      <w:jc w:val="left"/>
    </w:pPr>
    <w:rPr>
      <w:sz w:val="18"/>
      <w:szCs w:val="18"/>
    </w:rPr>
  </w:style>
  <w:style w:type="paragraph" w:styleId="6">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9">
    <w:name w:val="列表段落1"/>
    <w:basedOn w:val="1"/>
    <w:qFormat/>
    <w:uiPriority w:val="34"/>
    <w:pPr>
      <w:ind w:firstLine="420" w:firstLineChars="200"/>
    </w:pPr>
  </w:style>
  <w:style w:type="paragraph" w:customStyle="1" w:styleId="10">
    <w:name w:val="Revision"/>
    <w:hidden/>
    <w:unhideWhenUsed/>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8</Pages>
  <Words>847</Words>
  <Characters>4831</Characters>
  <Lines>40</Lines>
  <Paragraphs>11</Paragraphs>
  <TotalTime>6</TotalTime>
  <ScaleCrop>false</ScaleCrop>
  <LinksUpToDate>false</LinksUpToDate>
  <CharactersWithSpaces>5667</CharactersWithSpaces>
  <Application>WPS Office_11.8.2.12094_F1E327BC-269C-435d-A152-05C5408002CA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2023-09-15T05:35:00Z</dcterms:created>
  <dc:creator>SRCB</dc:creator>
  <cp:lastModifiedBy>shrcb</cp:lastModifiedBy>
  <dcterms:modified xsi:type="dcterms:W3CDTF">2024-05-11T05:43:32Z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2052-11.8.2.12094</vt:lpwstr>
  </property>
  <property fmtid="{D5CDD505-2E9C-101B-9397-08002B2CF9AE}" pid="3" name="ICV">
    <vt:lpwstr>2C9C6E457C0F40F89E03891DAFFA34DA</vt:lpwstr>
  </property>
</Properties>
</file>