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jc w:val="center"/>
        <w:rPr>
          <w:b/>
          <w:bCs/>
          <w:sz w:val="28"/>
          <w:szCs w:val="28"/>
        </w:rPr>
      </w:pPr>
      <w:r>
        <w:rPr>
          <w:rFonts w:hint="eastAsia"/>
          <w:b/>
          <w:bCs/>
          <w:sz w:val="28"/>
          <w:szCs w:val="28"/>
        </w:rPr>
        <w:t>相互保密协议</w:t>
      </w:r>
    </w:p>
    <w:p>
      <w:pPr>
        <w:spacing w:before="156" w:beforeLines="50" w:after="156" w:afterLines="50"/>
      </w:pPr>
      <w:r>
        <w:rPr>
          <w:rFonts w:hint="eastAsia"/>
        </w:rPr>
        <w:t xml:space="preserve">甲方：上海农村商业银行股份有限公司                                    </w:t>
      </w:r>
    </w:p>
    <w:p>
      <w:pPr>
        <w:spacing w:before="156" w:beforeLines="50" w:after="156" w:afterLines="50"/>
      </w:pPr>
      <w:r>
        <w:rPr>
          <w:rFonts w:hint="eastAsia"/>
        </w:rPr>
        <w:t xml:space="preserve">法定代表人（负责人）：    徐力                                             </w:t>
      </w:r>
    </w:p>
    <w:p>
      <w:pPr>
        <w:spacing w:before="156" w:beforeLines="50" w:after="156" w:afterLines="50"/>
      </w:pPr>
      <w:r>
        <w:rPr>
          <w:rFonts w:hint="eastAsia"/>
        </w:rPr>
        <w:t xml:space="preserve">通讯地址：上海市黄浦区中山东二路70号                </w:t>
      </w:r>
    </w:p>
    <w:p>
      <w:pPr>
        <w:spacing w:before="156" w:beforeLines="50" w:after="156" w:afterLines="50"/>
      </w:pPr>
      <w:r>
        <w:rPr>
          <w:rFonts w:hint="eastAsia"/>
        </w:rPr>
        <w:t xml:space="preserve">邮政编码：200002                               </w:t>
      </w:r>
    </w:p>
    <w:p>
      <w:pPr>
        <w:spacing w:before="156" w:beforeLines="50" w:after="156" w:afterLines="50"/>
      </w:pPr>
      <w:r>
        <w:rPr>
          <w:rFonts w:hint="eastAsia"/>
        </w:rPr>
        <w:t xml:space="preserve">固定电话：                                                            </w:t>
      </w:r>
    </w:p>
    <w:p>
      <w:pPr>
        <w:spacing w:before="156" w:beforeLines="50" w:after="156" w:afterLines="50"/>
      </w:pPr>
      <w:r>
        <w:rPr>
          <w:rFonts w:hint="eastAsia"/>
        </w:rPr>
        <w:t xml:space="preserve">联系传真：                                                            </w:t>
      </w:r>
    </w:p>
    <w:p>
      <w:pPr>
        <w:spacing w:before="156" w:beforeLines="50" w:after="156" w:afterLines="50"/>
      </w:pPr>
    </w:p>
    <w:p>
      <w:pPr>
        <w:spacing w:before="156" w:beforeLines="50" w:after="156" w:afterLines="50"/>
      </w:pPr>
      <w:r>
        <w:rPr>
          <w:rFonts w:hint="eastAsia"/>
        </w:rPr>
        <w:t xml:space="preserve">乙方：    甲骨文（中国）软件系统有限公司                                                            </w:t>
      </w:r>
    </w:p>
    <w:p>
      <w:pPr>
        <w:spacing w:before="156" w:beforeLines="50" w:after="156" w:afterLines="50"/>
      </w:pPr>
      <w:r>
        <w:rPr>
          <w:rFonts w:hint="eastAsia"/>
        </w:rPr>
        <w:t>注册地址：北京市海淀区东北旺西路</w:t>
      </w:r>
      <w:r>
        <w:t>8号24号楼</w:t>
      </w:r>
      <w:r>
        <w:rPr>
          <w:rFonts w:hint="eastAsia"/>
        </w:rPr>
        <w:t xml:space="preserve">                                                           </w:t>
      </w:r>
    </w:p>
    <w:p>
      <w:pPr>
        <w:spacing w:before="156" w:beforeLines="50" w:after="156" w:afterLines="50"/>
      </w:pPr>
      <w:r>
        <w:rPr>
          <w:rFonts w:hint="eastAsia"/>
        </w:rPr>
        <w:t xml:space="preserve">邮政编码： </w:t>
      </w:r>
      <w:r>
        <w:t>100193</w:t>
      </w:r>
      <w:r>
        <w:rPr>
          <w:rFonts w:hint="eastAsia"/>
        </w:rPr>
        <w:t xml:space="preserve">                                                           </w:t>
      </w:r>
    </w:p>
    <w:p>
      <w:pPr>
        <w:spacing w:before="156" w:beforeLines="50" w:after="156" w:afterLines="50"/>
      </w:pPr>
      <w:r>
        <w:rPr>
          <w:rFonts w:hint="eastAsia"/>
        </w:rPr>
        <w:t>通讯地址：  北京市海淀区东北旺西路</w:t>
      </w:r>
      <w:r>
        <w:t>8号24号楼</w:t>
      </w:r>
      <w:r>
        <w:rPr>
          <w:rFonts w:hint="eastAsia"/>
        </w:rPr>
        <w:t xml:space="preserve">                                                          </w:t>
      </w:r>
    </w:p>
    <w:p>
      <w:pPr>
        <w:spacing w:before="156" w:beforeLines="50" w:after="156" w:afterLines="50"/>
      </w:pPr>
      <w:r>
        <w:rPr>
          <w:rFonts w:hint="eastAsia"/>
        </w:rPr>
        <w:t xml:space="preserve">法定代表人：    谢恩●康登                                                      </w:t>
      </w:r>
    </w:p>
    <w:p>
      <w:pPr>
        <w:spacing w:before="156" w:beforeLines="50" w:after="156" w:afterLines="50"/>
      </w:pPr>
      <w:r>
        <w:rPr>
          <w:rFonts w:hint="eastAsia"/>
        </w:rPr>
        <w:t xml:space="preserve">固定电话：                                                   </w:t>
      </w:r>
    </w:p>
    <w:p>
      <w:pPr>
        <w:spacing w:before="156" w:beforeLines="50" w:after="156" w:afterLines="50"/>
      </w:pPr>
      <w:r>
        <w:rPr>
          <w:rFonts w:hint="eastAsia"/>
        </w:rPr>
        <w:t xml:space="preserve">移动电话：                                                            </w:t>
      </w:r>
    </w:p>
    <w:p>
      <w:pPr>
        <w:spacing w:before="156" w:beforeLines="50" w:after="156" w:afterLines="50"/>
      </w:pPr>
      <w:r>
        <w:rPr>
          <w:rFonts w:hint="eastAsia"/>
        </w:rPr>
        <w:t xml:space="preserve">联系传真：                                                          </w:t>
      </w:r>
    </w:p>
    <w:p>
      <w:pPr>
        <w:spacing w:before="156" w:beforeLines="50" w:after="156" w:afterLines="50"/>
      </w:pPr>
      <w:r>
        <w:rPr>
          <w:rFonts w:hint="eastAsia"/>
        </w:rPr>
        <w:t xml:space="preserve">电子邮箱：                                                            </w:t>
      </w:r>
    </w:p>
    <w:p>
      <w:pPr>
        <w:spacing w:before="156" w:beforeLines="50" w:after="156" w:afterLines="50"/>
      </w:pPr>
    </w:p>
    <w:p>
      <w:pPr>
        <w:spacing w:before="156" w:beforeLines="50" w:after="156" w:afterLines="50"/>
      </w:pPr>
      <w:r>
        <w:rPr>
          <w:rFonts w:hint="eastAsia"/>
        </w:rPr>
        <w:t>根据本协议，甲乙双方的共同目标旨在保护各方的商业机密和其他保密信息，并确保双方开展各自业务活动的能力。双方均同意，当一方或其关联公司（“披露方”）直接或间接向另一方或其关联公司（“接收方”）披露保密信息时，以下条款均适用。</w:t>
      </w:r>
    </w:p>
    <w:p>
      <w:pPr>
        <w:spacing w:before="156" w:beforeLines="50" w:after="156" w:afterLines="50"/>
      </w:pPr>
      <w:r>
        <w:rPr>
          <w:b/>
          <w:bCs/>
        </w:rPr>
        <w:t>1.</w:t>
      </w:r>
      <w:r>
        <w:rPr>
          <w:b/>
          <w:bCs/>
        </w:rPr>
        <w:tab/>
      </w:r>
      <w:r>
        <w:rPr>
          <w:b/>
          <w:bCs/>
        </w:rPr>
        <w:t>信息披露。</w:t>
      </w:r>
      <w:r>
        <w:t>自本协议生效日至终止日期间</w:t>
      </w:r>
      <w:r>
        <w:rPr>
          <w:rFonts w:hint="eastAsia"/>
        </w:rPr>
        <w:t>协议双方</w:t>
      </w:r>
      <w:r>
        <w:t>交换的所有保密信息（“信息”），如</w:t>
      </w:r>
      <w:r>
        <w:rPr>
          <w:rFonts w:hint="eastAsia"/>
        </w:rPr>
        <w:t>一方</w:t>
      </w:r>
      <w:r>
        <w:t>标记为保密信息，或在披露方披露时明确认定为保密信息，或在合理情况下</w:t>
      </w:r>
      <w:r>
        <w:rPr>
          <w:rFonts w:hint="eastAsia"/>
        </w:rPr>
        <w:t>被</w:t>
      </w:r>
      <w:r>
        <w:t>接收方视为保密信息，即受本协议保护。</w:t>
      </w:r>
    </w:p>
    <w:p>
      <w:pPr>
        <w:spacing w:before="156" w:beforeLines="50" w:after="156" w:afterLines="50"/>
      </w:pPr>
      <w:r>
        <w:rPr>
          <w:b/>
          <w:bCs/>
        </w:rPr>
        <w:t>2.</w:t>
      </w:r>
      <w:r>
        <w:rPr>
          <w:b/>
          <w:bCs/>
        </w:rPr>
        <w:tab/>
      </w:r>
      <w:r>
        <w:rPr>
          <w:b/>
          <w:bCs/>
        </w:rPr>
        <w:t>保密义务。</w:t>
      </w:r>
      <w:r>
        <w:t>接收方特此同意：（a）按接收方保护</w:t>
      </w:r>
      <w:r>
        <w:rPr>
          <w:rFonts w:hint="eastAsia"/>
        </w:rPr>
        <w:t>其</w:t>
      </w:r>
      <w:r>
        <w:t>自身</w:t>
      </w:r>
      <w:r>
        <w:rPr>
          <w:rFonts w:hint="eastAsia"/>
        </w:rPr>
        <w:t>机密</w:t>
      </w:r>
      <w:r>
        <w:t>信息</w:t>
      </w:r>
      <w:r>
        <w:rPr>
          <w:rFonts w:hint="eastAsia"/>
        </w:rPr>
        <w:t>同等</w:t>
      </w:r>
      <w:r>
        <w:t>谨慎程度和举措，避免披露、出版或传播披露方的信息，且接收方应至少按合理的谨慎程度保护披露方的信息；且（b）仅出于披露目的使用披露方的信息。出于披露目的</w:t>
      </w:r>
      <w:r>
        <w:rPr>
          <w:rFonts w:hint="eastAsia"/>
        </w:rPr>
        <w:t>，</w:t>
      </w:r>
      <w:r>
        <w:t>接收方可向其需要了解信息的关联公司、咨询、承包商、员工、顾问和/或代理人（统称为“代表”）披露信息，前提是接收方有义务确保在披露信息前，此类代表</w:t>
      </w:r>
      <w:r>
        <w:rPr>
          <w:rFonts w:hint="eastAsia"/>
        </w:rPr>
        <w:t>应</w:t>
      </w:r>
      <w:r>
        <w:t>至少受到与本协议条款相同的披露方信息保护条款的约束，且接收方仍应对任何代表违反本协议的限制行为向披露方负责。</w:t>
      </w:r>
    </w:p>
    <w:p>
      <w:pPr>
        <w:spacing w:before="156" w:beforeLines="50" w:after="156" w:afterLines="50"/>
      </w:pPr>
      <w:r>
        <w:rPr>
          <w:rFonts w:hint="eastAsia"/>
        </w:rPr>
        <w:t>根据披露方向接收方发出的书面通知的要求，接收方应销毁或返还所有披露方信息（无论是以书面、电子存储或以其他形式保存的信息），接收方或其任何代表均不得保留该信息的任何副本或摘录，但适用的法律、法规要求或遵守接收方明确的内部记录保留政策所必需和要求的情况除外，前提是任何以前述方式保留的信息在销毁前仍受本协议保密义务和使用限制的约束。</w:t>
      </w:r>
    </w:p>
    <w:p>
      <w:pPr>
        <w:spacing w:before="156" w:beforeLines="50" w:after="156" w:afterLines="50"/>
      </w:pPr>
      <w:r>
        <w:rPr>
          <w:b/>
          <w:bCs/>
        </w:rPr>
        <w:t>3.</w:t>
      </w:r>
      <w:r>
        <w:rPr>
          <w:b/>
          <w:bCs/>
        </w:rPr>
        <w:tab/>
      </w:r>
      <w:r>
        <w:rPr>
          <w:b/>
          <w:bCs/>
        </w:rPr>
        <w:t>保密期限。</w:t>
      </w:r>
      <w:r>
        <w:t>本协议将在生效日期后的</w:t>
      </w:r>
      <w:r>
        <w:rPr>
          <w:rFonts w:hint="eastAsia"/>
        </w:rPr>
        <w:t>十（10）年</w:t>
      </w:r>
      <w:r>
        <w:t>后终止；根据本协议披露的信息将在最初披露日期后的</w:t>
      </w:r>
      <w:r>
        <w:rPr>
          <w:rFonts w:hint="eastAsia"/>
        </w:rPr>
        <w:t>十（10）年</w:t>
      </w:r>
      <w:r>
        <w:t>内受本协议约束；此外，如果构成披露方商业秘密的信息根据《统一商业秘密法》仍为商业秘密，则此类信息仍受本协议的约束。</w:t>
      </w:r>
    </w:p>
    <w:p>
      <w:pPr>
        <w:spacing w:before="156" w:beforeLines="50" w:after="156" w:afterLines="50"/>
      </w:pPr>
      <w:r>
        <w:rPr>
          <w:b/>
          <w:bCs/>
        </w:rPr>
        <w:t>4.</w:t>
      </w:r>
      <w:r>
        <w:rPr>
          <w:b/>
          <w:bCs/>
        </w:rPr>
        <w:tab/>
      </w:r>
      <w:r>
        <w:rPr>
          <w:b/>
          <w:bCs/>
        </w:rPr>
        <w:t>保密义务例外情况。</w:t>
      </w:r>
      <w:r>
        <w:t>尽管本协议中有其他规定，但本协议中的限制不适用于以下信息的接收方：（a）接收方在披露时已持有且接收方不承担保密义务的信息；（b）由接收方独立开发的信息；（c）由接收方通过善意方式从不承担保密义务的第三方获得的信息；或（d）非因接收方的过错而成为公众可获得的信息。如果且仅在法律特别要求的范围内，接收方可对披露方的信息进行披露，但前提是接收方在进行此类披露前，应向披露方提供及时的书面通知，并</w:t>
      </w:r>
      <w:r>
        <w:rPr>
          <w:rFonts w:hint="eastAsia"/>
        </w:rPr>
        <w:t>经双方协商一致后，</w:t>
      </w:r>
      <w:r>
        <w:t>给予披露方合理的机会避免或限制此类披露。</w:t>
      </w:r>
    </w:p>
    <w:p>
      <w:pPr>
        <w:spacing w:before="156" w:beforeLines="50" w:after="156" w:afterLines="50"/>
      </w:pPr>
      <w:r>
        <w:rPr>
          <w:b/>
          <w:bCs/>
        </w:rPr>
        <w:t>5.</w:t>
      </w:r>
      <w:r>
        <w:rPr>
          <w:b/>
          <w:bCs/>
        </w:rPr>
        <w:tab/>
      </w:r>
      <w:r>
        <w:rPr>
          <w:b/>
          <w:bCs/>
        </w:rPr>
        <w:t>免责声明。披露方提供的信息不包含任何形式的保证。</w:t>
      </w:r>
      <w:r>
        <w:t>披露方概不对因使用本协议项下披露的信息产生的任何损害负责。本协议或根据本协议进行的任何信息披露均未将披露方现在或以后拥有的或控制的任何商标、版权或专利项下的任何权利或许可授予接收方。</w:t>
      </w:r>
    </w:p>
    <w:p>
      <w:pPr>
        <w:spacing w:before="156" w:beforeLines="50" w:after="156" w:afterLines="50"/>
      </w:pPr>
    </w:p>
    <w:p>
      <w:pPr>
        <w:spacing w:before="156" w:beforeLines="50" w:after="156" w:afterLines="50"/>
      </w:pPr>
      <w:r>
        <w:rPr>
          <w:b/>
          <w:bCs/>
        </w:rPr>
        <w:t>6.</w:t>
      </w:r>
      <w:r>
        <w:rPr>
          <w:b/>
          <w:bCs/>
        </w:rPr>
        <w:tab/>
      </w:r>
      <w:r>
        <w:rPr>
          <w:b/>
          <w:bCs/>
        </w:rPr>
        <w:t>通用条款。</w:t>
      </w:r>
      <w:r>
        <w:t>本协议不要求任何一方披露或接收信息。</w:t>
      </w:r>
      <w:r>
        <w:rPr>
          <w:rFonts w:hint="eastAsia"/>
        </w:rPr>
        <w:t>本协议项下的信息接收不限制接收方开发和向第三方提供可能与披露方的产品或服务存在竞争关系的产品或服务，或向第三方提供与披露方存在竞争关系的产品或服务；</w:t>
      </w:r>
      <w:r>
        <w:t>前提是接收方</w:t>
      </w:r>
      <w:r>
        <w:rPr>
          <w:rFonts w:hint="eastAsia"/>
        </w:rPr>
        <w:t>没有</w:t>
      </w:r>
      <w:r>
        <w:t>违反本协议相关规定</w:t>
      </w:r>
      <w:r>
        <w:rPr>
          <w:rFonts w:hint="eastAsia"/>
        </w:rPr>
        <w:t>，</w:t>
      </w:r>
      <w:r>
        <w:t>且如果</w:t>
      </w:r>
      <w:r>
        <w:rPr>
          <w:rFonts w:hint="eastAsia"/>
        </w:rPr>
        <w:t>甲骨文（中国）软件系统有限公司</w:t>
      </w:r>
      <w:r>
        <w:t>从本协议第三方收到产品</w:t>
      </w:r>
      <w:r>
        <w:rPr>
          <w:rFonts w:hint="eastAsia"/>
        </w:rPr>
        <w:t>输入或反馈</w:t>
      </w:r>
      <w:r>
        <w:t>，</w:t>
      </w:r>
      <w:r>
        <w:rPr>
          <w:rFonts w:hint="eastAsia"/>
        </w:rPr>
        <w:t>甲骨文（中国）软件系统有限公司</w:t>
      </w:r>
      <w:r>
        <w:t>可</w:t>
      </w:r>
      <w:r>
        <w:rPr>
          <w:rFonts w:hint="eastAsia"/>
        </w:rPr>
        <w:t>根据此类输入或反馈优化</w:t>
      </w:r>
      <w:r>
        <w:t>其产品，</w:t>
      </w:r>
      <w:r>
        <w:rPr>
          <w:rFonts w:hint="eastAsia"/>
        </w:rPr>
        <w:t>并将拥有这些产品和优化的特性或功能</w:t>
      </w:r>
      <w:r>
        <w:t>或与其有关的</w:t>
      </w:r>
      <w:r>
        <w:rPr>
          <w:rFonts w:hint="eastAsia"/>
        </w:rPr>
        <w:t>所有知识产权。</w:t>
      </w:r>
    </w:p>
    <w:p>
      <w:pPr>
        <w:spacing w:before="156" w:beforeLines="50" w:after="156" w:afterLines="50"/>
      </w:pPr>
      <w:r>
        <w:rPr>
          <w:rFonts w:hint="eastAsia"/>
        </w:rPr>
        <w:t>.</w:t>
      </w:r>
    </w:p>
    <w:p>
      <w:pPr>
        <w:spacing w:before="156" w:beforeLines="50" w:after="156" w:afterLines="50"/>
      </w:pPr>
      <w:r>
        <w:rPr>
          <w:rFonts w:hint="eastAsia"/>
        </w:rPr>
        <w:t>本协议双方均同意在处理个人数据（定义见适用的数据保护法）时，遵守适用的数据保护法（指所有与隐私、数据安全、通信保密、安全泄漏通知或个人数据处理有关的法律、法规和其他法律要求）。因本协议引起的或与本协议有关的任何争议均适用中华人民共和国法律（不包括香港特别行政区、澳门特别行政区及台湾地区的法律），且本协议双方同意接受由上海市黄浦区人民法院管辖。</w:t>
      </w:r>
    </w:p>
    <w:p>
      <w:pPr>
        <w:spacing w:before="156" w:beforeLines="50" w:after="156" w:afterLines="50"/>
      </w:pPr>
      <w:r>
        <w:rPr>
          <w:rFonts w:hint="eastAsia"/>
        </w:rPr>
        <w:t>本协议双方同意仅可通过经双方签署的书面协议修改本协议。任何一方如需终止协议，应提前三十（</w:t>
      </w:r>
      <w:r>
        <w:t>30）天向另一方发出书面通知</w:t>
      </w:r>
      <w:r>
        <w:rPr>
          <w:rFonts w:hint="eastAsia"/>
        </w:rPr>
        <w:t>方</w:t>
      </w:r>
      <w:r>
        <w:t>可终止本协议。本协议的任何条款，因其性质超出本协议终止期限的，直至履行前仍然有效，并适用于所有继受人和受让人。未经事先书面同意，任何一方均不得转让或以其他方式转移其在本协议项下的权利或委派其在本协议项下的职责或义务，且任何此类转让、转移或委派的尝试均属无效。本协议是与本协议双方的信息披露有关的完整和排他性协议，并取代双方先前就此类披露作出的任何口头或书面沟</w:t>
      </w:r>
      <w:r>
        <w:rPr>
          <w:rFonts w:hint="eastAsia"/>
        </w:rPr>
        <w:t>通。本协议可以多份副本形式签署，也可以电子方式签署，或通过</w:t>
      </w:r>
      <w:bookmarkStart w:id="0" w:name="_GoBack"/>
      <w:bookmarkEnd w:id="0"/>
      <w:r>
        <w:rPr>
          <w:rFonts w:hint="eastAsia"/>
        </w:rPr>
        <w:t>传真、</w:t>
      </w:r>
      <w:r>
        <w:t>PDF或其他可靠的方式进行传输，在此类情况下，签署后的本协议仍应被视为原件</w:t>
      </w:r>
      <w:r>
        <w:rPr>
          <w:rFonts w:hint="eastAsia"/>
        </w:rPr>
        <w:t>且具备同等法律效力</w:t>
      </w:r>
      <w:r>
        <w:t>。</w:t>
      </w:r>
    </w:p>
    <w:p>
      <w:pPr>
        <w:spacing w:before="156" w:beforeLines="50" w:after="156" w:afterLines="50"/>
      </w:pPr>
    </w:p>
    <w:p>
      <w:pPr>
        <w:spacing w:before="156" w:beforeLines="50" w:after="156" w:afterLines="50"/>
      </w:pPr>
      <w:r>
        <w:rPr>
          <w:rFonts w:hint="eastAsia"/>
        </w:rPr>
        <w:t>本协议以下各方已于下列最后签署日期签署本协议，以昭信守：</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Borders>
              <w:top w:val="nil"/>
              <w:left w:val="nil"/>
              <w:bottom w:val="nil"/>
              <w:right w:val="nil"/>
            </w:tcBorders>
          </w:tcPr>
          <w:p>
            <w:pPr>
              <w:spacing w:before="156" w:beforeLines="50" w:after="156" w:afterLines="50"/>
            </w:pPr>
            <w:r>
              <w:rPr>
                <w:rFonts w:hint="eastAsia"/>
              </w:rPr>
              <w:t>甲方（盖章）：上海农村商业银行股份有限公司</w:t>
            </w:r>
          </w:p>
        </w:tc>
        <w:tc>
          <w:tcPr>
            <w:tcW w:w="4927" w:type="dxa"/>
            <w:tcBorders>
              <w:top w:val="nil"/>
              <w:left w:val="nil"/>
              <w:bottom w:val="nil"/>
              <w:right w:val="nil"/>
            </w:tcBorders>
          </w:tcPr>
          <w:p>
            <w:pPr>
              <w:spacing w:before="156" w:beforeLines="50" w:after="156" w:afterLines="50"/>
            </w:pPr>
            <w:r>
              <w:rPr>
                <w:rFonts w:hint="eastAsia"/>
              </w:rPr>
              <w:t>乙方（盖章）：甲骨文（中国）软件系统有限公司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Borders>
              <w:top w:val="nil"/>
              <w:left w:val="nil"/>
              <w:bottom w:val="nil"/>
              <w:right w:val="nil"/>
            </w:tcBorders>
          </w:tcPr>
          <w:p>
            <w:pPr>
              <w:spacing w:before="156" w:beforeLines="50" w:after="156" w:afterLines="50"/>
            </w:pPr>
            <w:r>
              <w:rPr>
                <w:rFonts w:hint="eastAsia"/>
              </w:rPr>
              <w:t>法定代表人（负责人）：徐力</w:t>
            </w:r>
          </w:p>
        </w:tc>
        <w:tc>
          <w:tcPr>
            <w:tcW w:w="4927" w:type="dxa"/>
            <w:tcBorders>
              <w:top w:val="nil"/>
              <w:left w:val="nil"/>
              <w:bottom w:val="nil"/>
              <w:right w:val="nil"/>
            </w:tcBorders>
          </w:tcPr>
          <w:p>
            <w:pPr>
              <w:spacing w:before="156" w:beforeLines="50" w:after="156" w:afterLines="50"/>
            </w:pPr>
            <w:r>
              <w:rPr>
                <w:rFonts w:hint="eastAsia"/>
              </w:rPr>
              <w:t>法定代表人（负责人）：谢恩</w:t>
            </w:r>
            <w:r>
              <w:rPr>
                <w:rFonts w:ascii="Calibri" w:hAnsi="Calibri" w:cs="Calibri"/>
              </w:rPr>
              <w:t>●</w:t>
            </w:r>
            <w:r>
              <w:rPr>
                <w:rFonts w:hint="eastAsia"/>
              </w:rPr>
              <w:t>康登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Borders>
              <w:top w:val="nil"/>
              <w:left w:val="nil"/>
              <w:bottom w:val="nil"/>
              <w:right w:val="nil"/>
            </w:tcBorders>
          </w:tcPr>
          <w:p>
            <w:pPr>
              <w:spacing w:before="156" w:beforeLines="50" w:after="156" w:afterLines="50"/>
            </w:pPr>
            <w:r>
              <w:rPr>
                <w:rFonts w:hint="eastAsia"/>
              </w:rPr>
              <w:t>日期：2024年    月     日</w:t>
            </w:r>
          </w:p>
        </w:tc>
        <w:tc>
          <w:tcPr>
            <w:tcW w:w="4927" w:type="dxa"/>
            <w:tcBorders>
              <w:top w:val="nil"/>
              <w:left w:val="nil"/>
              <w:bottom w:val="nil"/>
              <w:right w:val="nil"/>
            </w:tcBorders>
          </w:tcPr>
          <w:p>
            <w:pPr>
              <w:spacing w:before="156" w:beforeLines="50" w:after="156" w:afterLines="50"/>
            </w:pPr>
            <w:r>
              <w:rPr>
                <w:rFonts w:hint="eastAsia"/>
              </w:rPr>
              <w:t>日期：2024年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Borders>
              <w:top w:val="nil"/>
              <w:left w:val="nil"/>
              <w:bottom w:val="nil"/>
              <w:right w:val="nil"/>
            </w:tcBorders>
          </w:tcPr>
          <w:p>
            <w:pPr>
              <w:spacing w:before="156" w:beforeLines="50" w:after="156" w:afterLines="50"/>
            </w:pPr>
            <w:r>
              <w:rPr>
                <w:rFonts w:hint="eastAsia"/>
              </w:rPr>
              <w:t>通知地址：上海市黄浦区中山东二路70号</w:t>
            </w:r>
          </w:p>
        </w:tc>
        <w:tc>
          <w:tcPr>
            <w:tcW w:w="4927" w:type="dxa"/>
            <w:tcBorders>
              <w:top w:val="nil"/>
              <w:left w:val="nil"/>
              <w:bottom w:val="nil"/>
              <w:right w:val="nil"/>
            </w:tcBorders>
          </w:tcPr>
          <w:p>
            <w:pPr>
              <w:spacing w:before="156" w:beforeLines="50" w:after="156" w:afterLines="50"/>
            </w:pPr>
            <w:r>
              <w:rPr>
                <w:rFonts w:hint="eastAsia"/>
              </w:rPr>
              <w:t>通知地址：北京市海淀区东北旺西路8号24号楼</w:t>
            </w:r>
          </w:p>
        </w:tc>
      </w:tr>
    </w:tbl>
    <w:p>
      <w:pPr>
        <w:tabs>
          <w:tab w:val="left" w:pos="6004"/>
          <w:tab w:val="left" w:pos="8104"/>
          <w:tab w:val="left" w:pos="10203"/>
        </w:tabs>
        <w:spacing w:before="118"/>
        <w:rPr>
          <w:sz w:val="18"/>
          <w:szCs w:val="18"/>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hideSpellingErrors/>
  <w:hideGrammaticalErrors/>
  <w:trackRevisions w:val="1"/>
  <w:documentProtection w:edit="forms"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zOWE5YjZkNjVhZGQwMGFjZTAzMjMxYWI3M2FhOWQifQ=="/>
  </w:docVars>
  <w:rsids>
    <w:rsidRoot w:val="004043C9"/>
    <w:rsid w:val="00016AFE"/>
    <w:rsid w:val="000D0C63"/>
    <w:rsid w:val="000D12F4"/>
    <w:rsid w:val="000F2A4D"/>
    <w:rsid w:val="000F5CD6"/>
    <w:rsid w:val="001232E2"/>
    <w:rsid w:val="001248FB"/>
    <w:rsid w:val="00142B8A"/>
    <w:rsid w:val="0015258E"/>
    <w:rsid w:val="00152BE9"/>
    <w:rsid w:val="0016157E"/>
    <w:rsid w:val="00186806"/>
    <w:rsid w:val="001A519A"/>
    <w:rsid w:val="001C50F3"/>
    <w:rsid w:val="001E788A"/>
    <w:rsid w:val="001F3002"/>
    <w:rsid w:val="0021290C"/>
    <w:rsid w:val="002343F6"/>
    <w:rsid w:val="00242BB6"/>
    <w:rsid w:val="00272C03"/>
    <w:rsid w:val="002A10E4"/>
    <w:rsid w:val="002D7218"/>
    <w:rsid w:val="002E2186"/>
    <w:rsid w:val="00302C90"/>
    <w:rsid w:val="003543EA"/>
    <w:rsid w:val="00394EB3"/>
    <w:rsid w:val="003B6F8E"/>
    <w:rsid w:val="004043C9"/>
    <w:rsid w:val="00430DEA"/>
    <w:rsid w:val="00431082"/>
    <w:rsid w:val="00436717"/>
    <w:rsid w:val="0044106B"/>
    <w:rsid w:val="00456FA7"/>
    <w:rsid w:val="004A2864"/>
    <w:rsid w:val="0054790B"/>
    <w:rsid w:val="005636F8"/>
    <w:rsid w:val="00570AC8"/>
    <w:rsid w:val="00590283"/>
    <w:rsid w:val="00611C12"/>
    <w:rsid w:val="00644379"/>
    <w:rsid w:val="006461FA"/>
    <w:rsid w:val="00660B09"/>
    <w:rsid w:val="006754EC"/>
    <w:rsid w:val="006C5E72"/>
    <w:rsid w:val="006C6E37"/>
    <w:rsid w:val="006F5CDA"/>
    <w:rsid w:val="007000C7"/>
    <w:rsid w:val="007E6DA0"/>
    <w:rsid w:val="008002C3"/>
    <w:rsid w:val="00804A1C"/>
    <w:rsid w:val="00851FAE"/>
    <w:rsid w:val="00877CE6"/>
    <w:rsid w:val="008A34B2"/>
    <w:rsid w:val="008F2699"/>
    <w:rsid w:val="008F64E4"/>
    <w:rsid w:val="0096392D"/>
    <w:rsid w:val="00964B4A"/>
    <w:rsid w:val="009C7C3A"/>
    <w:rsid w:val="00A61BEE"/>
    <w:rsid w:val="00A976AC"/>
    <w:rsid w:val="00AA08A7"/>
    <w:rsid w:val="00AB2F90"/>
    <w:rsid w:val="00B02C08"/>
    <w:rsid w:val="00B240F5"/>
    <w:rsid w:val="00B87DA5"/>
    <w:rsid w:val="00B90E6D"/>
    <w:rsid w:val="00BF6F36"/>
    <w:rsid w:val="00C16EB3"/>
    <w:rsid w:val="00C24ABD"/>
    <w:rsid w:val="00C24C66"/>
    <w:rsid w:val="00C30A20"/>
    <w:rsid w:val="00CD053C"/>
    <w:rsid w:val="00CF1C4C"/>
    <w:rsid w:val="00CF73FC"/>
    <w:rsid w:val="00D3078E"/>
    <w:rsid w:val="00D34081"/>
    <w:rsid w:val="00D46861"/>
    <w:rsid w:val="00D862A7"/>
    <w:rsid w:val="00DD2909"/>
    <w:rsid w:val="00E11B7D"/>
    <w:rsid w:val="00E17B59"/>
    <w:rsid w:val="00E21D14"/>
    <w:rsid w:val="00E74778"/>
    <w:rsid w:val="00EF1785"/>
    <w:rsid w:val="00F15D3A"/>
    <w:rsid w:val="00F20371"/>
    <w:rsid w:val="00F76EC2"/>
    <w:rsid w:val="00F8571B"/>
    <w:rsid w:val="00FC0DDB"/>
    <w:rsid w:val="00FC5992"/>
    <w:rsid w:val="039E52F4"/>
    <w:rsid w:val="06172B2B"/>
    <w:rsid w:val="091927F9"/>
    <w:rsid w:val="0C155234"/>
    <w:rsid w:val="11D3328D"/>
    <w:rsid w:val="17A40621"/>
    <w:rsid w:val="1A581957"/>
    <w:rsid w:val="1D293735"/>
    <w:rsid w:val="1D3117B4"/>
    <w:rsid w:val="1DF75E1B"/>
    <w:rsid w:val="251B2F2C"/>
    <w:rsid w:val="261E52E3"/>
    <w:rsid w:val="28510EB3"/>
    <w:rsid w:val="290640B0"/>
    <w:rsid w:val="2A122A37"/>
    <w:rsid w:val="2EB60FCE"/>
    <w:rsid w:val="2EDF4C89"/>
    <w:rsid w:val="33E936B8"/>
    <w:rsid w:val="35C0323B"/>
    <w:rsid w:val="37E706C5"/>
    <w:rsid w:val="39906DFC"/>
    <w:rsid w:val="3B4434A2"/>
    <w:rsid w:val="3BEF59C8"/>
    <w:rsid w:val="3FD6092A"/>
    <w:rsid w:val="41FA7EF9"/>
    <w:rsid w:val="43F1076B"/>
    <w:rsid w:val="47EF6F11"/>
    <w:rsid w:val="4A3D67CF"/>
    <w:rsid w:val="4B0A392B"/>
    <w:rsid w:val="4B153525"/>
    <w:rsid w:val="4C6D5F9B"/>
    <w:rsid w:val="4D617CA2"/>
    <w:rsid w:val="54B61BB7"/>
    <w:rsid w:val="54D8602B"/>
    <w:rsid w:val="55377980"/>
    <w:rsid w:val="55531B55"/>
    <w:rsid w:val="581830B1"/>
    <w:rsid w:val="582A10CC"/>
    <w:rsid w:val="59AC5C29"/>
    <w:rsid w:val="5A405A6E"/>
    <w:rsid w:val="5A6F4C7B"/>
    <w:rsid w:val="5B5979F8"/>
    <w:rsid w:val="5D870D92"/>
    <w:rsid w:val="614115F2"/>
    <w:rsid w:val="62D01E52"/>
    <w:rsid w:val="63037F04"/>
    <w:rsid w:val="646C40CD"/>
    <w:rsid w:val="65DD4EC4"/>
    <w:rsid w:val="66E6081E"/>
    <w:rsid w:val="66F36075"/>
    <w:rsid w:val="67281F7E"/>
    <w:rsid w:val="6C1171FA"/>
    <w:rsid w:val="6DDC0088"/>
    <w:rsid w:val="78802B73"/>
    <w:rsid w:val="79377801"/>
    <w:rsid w:val="7B3A2A30"/>
    <w:rsid w:val="7E9B40E1"/>
    <w:rsid w:val="7F5A36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20"/>
    <w:semiHidden/>
    <w:unhideWhenUsed/>
    <w:qFormat/>
    <w:uiPriority w:val="99"/>
    <w:pPr>
      <w:jc w:val="left"/>
    </w:pPr>
  </w:style>
  <w:style w:type="paragraph" w:styleId="3">
    <w:name w:val="Balloon Text"/>
    <w:basedOn w:val="1"/>
    <w:link w:val="24"/>
    <w:semiHidden/>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unhideWhenUsed/>
    <w:qFormat/>
    <w:uiPriority w:val="99"/>
    <w:pPr>
      <w:tabs>
        <w:tab w:val="center" w:pos="4153"/>
        <w:tab w:val="right" w:pos="8306"/>
      </w:tabs>
      <w:snapToGrid w:val="0"/>
      <w:jc w:val="center"/>
    </w:pPr>
    <w:rPr>
      <w:sz w:val="18"/>
      <w:szCs w:val="18"/>
    </w:rPr>
  </w:style>
  <w:style w:type="paragraph" w:styleId="6">
    <w:name w:val="annotation subject"/>
    <w:basedOn w:val="2"/>
    <w:next w:val="2"/>
    <w:link w:val="21"/>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FollowedHyperlink"/>
    <w:basedOn w:val="9"/>
    <w:semiHidden/>
    <w:unhideWhenUsed/>
    <w:uiPriority w:val="99"/>
    <w:rPr>
      <w:color w:val="333333"/>
      <w:u w:val="single"/>
    </w:rPr>
  </w:style>
  <w:style w:type="character" w:styleId="11">
    <w:name w:val="Hyperlink"/>
    <w:basedOn w:val="9"/>
    <w:semiHidden/>
    <w:unhideWhenUsed/>
    <w:qFormat/>
    <w:uiPriority w:val="99"/>
    <w:rPr>
      <w:color w:val="333333"/>
      <w:u w:val="single"/>
    </w:rPr>
  </w:style>
  <w:style w:type="character" w:styleId="12">
    <w:name w:val="annotation reference"/>
    <w:basedOn w:val="9"/>
    <w:semiHidden/>
    <w:unhideWhenUsed/>
    <w:qFormat/>
    <w:uiPriority w:val="99"/>
    <w:rPr>
      <w:sz w:val="21"/>
      <w:szCs w:val="21"/>
    </w:rPr>
  </w:style>
  <w:style w:type="paragraph" w:customStyle="1" w:styleId="13">
    <w:name w:val="修订1"/>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4">
    <w:name w:val="Table Normal1"/>
    <w:semiHidden/>
    <w:unhideWhenUsed/>
    <w:qFormat/>
    <w:uiPriority w:val="2"/>
    <w:tblPr>
      <w:tblCellMar>
        <w:top w:w="0" w:type="dxa"/>
        <w:left w:w="0" w:type="dxa"/>
        <w:bottom w:w="0" w:type="dxa"/>
        <w:right w:w="0" w:type="dxa"/>
      </w:tblCellMar>
    </w:tblPr>
  </w:style>
  <w:style w:type="paragraph" w:customStyle="1" w:styleId="15">
    <w:name w:val="Table Paragraph"/>
    <w:basedOn w:val="1"/>
    <w:qFormat/>
    <w:uiPriority w:val="1"/>
    <w:pPr>
      <w:widowControl/>
      <w:jc w:val="left"/>
    </w:pPr>
    <w:rPr>
      <w:kern w:val="0"/>
      <w:sz w:val="22"/>
    </w:rPr>
  </w:style>
  <w:style w:type="character" w:customStyle="1" w:styleId="16">
    <w:name w:val="页眉 Char"/>
    <w:basedOn w:val="9"/>
    <w:link w:val="5"/>
    <w:qFormat/>
    <w:uiPriority w:val="99"/>
    <w:rPr>
      <w:sz w:val="18"/>
      <w:szCs w:val="18"/>
    </w:rPr>
  </w:style>
  <w:style w:type="character" w:customStyle="1" w:styleId="17">
    <w:name w:val="页脚 Char"/>
    <w:basedOn w:val="9"/>
    <w:link w:val="4"/>
    <w:qFormat/>
    <w:uiPriority w:val="99"/>
    <w:rPr>
      <w:sz w:val="18"/>
      <w:szCs w:val="18"/>
    </w:rPr>
  </w:style>
  <w:style w:type="paragraph" w:customStyle="1" w:styleId="18">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9">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0">
    <w:name w:val="批注文字 Char"/>
    <w:basedOn w:val="9"/>
    <w:link w:val="2"/>
    <w:semiHidden/>
    <w:qFormat/>
    <w:uiPriority w:val="99"/>
    <w:rPr>
      <w:kern w:val="2"/>
      <w:sz w:val="21"/>
      <w:szCs w:val="22"/>
    </w:rPr>
  </w:style>
  <w:style w:type="character" w:customStyle="1" w:styleId="21">
    <w:name w:val="批注主题 Char"/>
    <w:basedOn w:val="20"/>
    <w:link w:val="6"/>
    <w:semiHidden/>
    <w:qFormat/>
    <w:uiPriority w:val="99"/>
    <w:rPr>
      <w:b/>
      <w:bCs/>
      <w:kern w:val="2"/>
      <w:sz w:val="21"/>
      <w:szCs w:val="22"/>
    </w:rPr>
  </w:style>
  <w:style w:type="paragraph" w:customStyle="1" w:styleId="22">
    <w:name w:val="Revision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3">
    <w:name w:val="修订4"/>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4">
    <w:name w:val="批注框文本 Char"/>
    <w:basedOn w:val="9"/>
    <w:link w:val="3"/>
    <w:semiHidden/>
    <w:qFormat/>
    <w:uiPriority w:val="99"/>
    <w:rPr>
      <w:kern w:val="2"/>
      <w:sz w:val="18"/>
      <w:szCs w:val="18"/>
    </w:rPr>
  </w:style>
  <w:style w:type="character" w:customStyle="1" w:styleId="25">
    <w:name w:val="linkit"/>
    <w:basedOn w:val="9"/>
    <w:qFormat/>
    <w:uiPriority w:val="0"/>
    <w:rPr>
      <w:color w:val="004C73"/>
    </w:rPr>
  </w:style>
  <w:style w:type="character" w:customStyle="1" w:styleId="26">
    <w:name w:val="p_last"/>
    <w:basedOn w:val="9"/>
    <w:qFormat/>
    <w:uiPriority w:val="0"/>
  </w:style>
  <w:style w:type="character" w:customStyle="1" w:styleId="27">
    <w:name w:val="p_first"/>
    <w:basedOn w:val="9"/>
    <w:qFormat/>
    <w:uiPriority w:val="0"/>
    <w:rPr>
      <w:sz w:val="0"/>
      <w:szCs w:val="0"/>
      <w:shd w:val="clear" w:color="auto" w:fill="FFFFFF"/>
    </w:rPr>
  </w:style>
  <w:style w:type="character" w:customStyle="1" w:styleId="28">
    <w:name w:val="onit"/>
    <w:basedOn w:val="9"/>
    <w:qFormat/>
    <w:uiPriority w:val="0"/>
    <w:rPr>
      <w:b/>
      <w:bCs/>
      <w:color w:val="FFFFFF"/>
      <w:sz w:val="12"/>
      <w:szCs w:val="12"/>
      <w:bdr w:val="single" w:color="333333" w:sz="4" w:space="0"/>
      <w:shd w:val="clear" w:color="auto" w:fill="736F6E"/>
    </w:rPr>
  </w:style>
  <w:style w:type="character" w:customStyle="1" w:styleId="29">
    <w:name w:val="hover8"/>
    <w:basedOn w:val="9"/>
    <w:qFormat/>
    <w:uiPriority w:val="0"/>
    <w:rPr>
      <w:color w:val="FFFFFF"/>
      <w:sz w:val="12"/>
      <w:szCs w:val="12"/>
      <w:bdr w:val="single" w:color="333333" w:sz="4" w:space="0"/>
      <w:shd w:val="clear" w:color="auto" w:fill="736F6E"/>
    </w:rPr>
  </w:style>
  <w:style w:type="character" w:customStyle="1" w:styleId="30">
    <w:name w:val="one"/>
    <w:basedOn w:val="9"/>
    <w:qFormat/>
    <w:uiPriority w:val="0"/>
  </w:style>
  <w:style w:type="character" w:customStyle="1" w:styleId="31">
    <w:name w:val="arrow"/>
    <w:basedOn w:val="9"/>
    <w:qFormat/>
    <w:uiPriority w:val="0"/>
  </w:style>
  <w:style w:type="character" w:customStyle="1" w:styleId="32">
    <w:name w:val="arrow1"/>
    <w:basedOn w:val="9"/>
    <w:qFormat/>
    <w:uiPriority w:val="0"/>
  </w:style>
  <w:style w:type="character" w:customStyle="1" w:styleId="33">
    <w:name w:val="p_prev"/>
    <w:basedOn w:val="9"/>
    <w:qFormat/>
    <w:uiPriority w:val="0"/>
  </w:style>
  <w:style w:type="character" w:customStyle="1" w:styleId="34">
    <w:name w:val="p_next"/>
    <w:basedOn w:val="9"/>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445</Words>
  <Characters>2540</Characters>
  <Lines>21</Lines>
  <Paragraphs>5</Paragraphs>
  <TotalTime>13</TotalTime>
  <ScaleCrop>false</ScaleCrop>
  <LinksUpToDate>false</LinksUpToDate>
  <CharactersWithSpaces>2980</CharactersWithSpaces>
  <Application>WPS Office_11.8.2.9075_F1E327BC-269C-435d-A152-05C5408002CA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2024-04-02T03:54:00Z</dcterms:created>
  <dc:creator>wang Daisy</dc:creator>
  <cp:lastModifiedBy>template-win10-2022</cp:lastModifiedBy>
  <dcterms:modified xsi:type="dcterms:W3CDTF">2024-05-30T08:07:47Z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2052-11.8.2.9075</vt:lpwstr>
  </property>
  <property fmtid="{D5CDD505-2E9C-101B-9397-08002B2CF9AE}" pid="3" name="ICV">
    <vt:lpwstr>C10C357C311D450B98BD3709C25ABF68</vt:lpwstr>
  </property>
</Properties>
</file>