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rPr>
      </w:pPr>
      <w:r>
        <w:rPr>
          <w:color w:val="000000"/>
          <w:sz w:val="36"/>
          <w:szCs w:val="36"/>
        </w:rPr>
        <w:t>保密协议</w:t>
      </w:r>
    </w:p>
    <w:p>
      <w:pPr>
        <w:wordWrap w:val="0"/>
        <w:spacing w:before="156" w:beforeLines="50" w:after="156" w:afterLines="50" w:line="240" w:lineRule="atLeast"/>
        <w:rPr>
          <w:rFonts w:cs="宋体-18030"/>
          <w:bCs/>
          <w:color w:val="000000"/>
          <w:sz w:val="24"/>
          <w:szCs w:val="21"/>
        </w:rPr>
      </w:pPr>
    </w:p>
    <w:p>
      <w:pPr>
        <w:wordWrap w:val="0"/>
        <w:spacing w:before="156" w:beforeLines="50" w:after="156" w:afterLines="50" w:line="240" w:lineRule="atLeast"/>
        <w:rPr>
          <w:color w:val="000000"/>
          <w:sz w:val="24"/>
          <w:szCs w:val="24"/>
        </w:rPr>
      </w:pPr>
      <w:r>
        <w:rPr>
          <w:rFonts w:hint="eastAsia"/>
          <w:color w:val="000000"/>
          <w:sz w:val="24"/>
          <w:szCs w:val="24"/>
        </w:rPr>
        <w:t>本保密协议（“本协议”)由以下双方签署：</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rPr>
          <w:bCs/>
          <w:color w:val="000000"/>
          <w:sz w:val="24"/>
        </w:rPr>
      </w:pPr>
      <w:r>
        <w:rPr>
          <w:rFonts w:hint="eastAsia"/>
          <w:b/>
          <w:bCs/>
          <w:color w:val="000000"/>
          <w:sz w:val="24"/>
          <w:szCs w:val="24"/>
        </w:rPr>
        <w:t>甲方</w:t>
      </w:r>
      <w:r>
        <w:rPr>
          <w:rFonts w:hint="eastAsia"/>
          <w:b/>
          <w:color w:val="000000"/>
          <w:sz w:val="24"/>
          <w:szCs w:val="24"/>
        </w:rPr>
        <w:t>：上海农村商业银行股份有限公司</w:t>
      </w:r>
      <w:r>
        <w:rPr>
          <w:color w:val="000000"/>
          <w:sz w:val="24"/>
          <w:szCs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法定代表人（负责人）：</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通讯地址：</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邮政编码：</w:t>
      </w:r>
      <w:r>
        <w:rPr>
          <w:color w:val="000000"/>
          <w:sz w:val="24"/>
          <w:u w:val="single"/>
        </w:rPr>
        <w:t xml:space="preserve">                                                            </w:t>
      </w:r>
    </w:p>
    <w:p>
      <w:pPr>
        <w:wordWrap w:val="0"/>
        <w:spacing w:before="156" w:beforeLines="50" w:after="156" w:afterLines="50" w:line="240" w:lineRule="atLeast"/>
        <w:rPr>
          <w:color w:val="000000"/>
          <w:sz w:val="24"/>
        </w:rPr>
      </w:pPr>
      <w:r>
        <w:rPr>
          <w:rFonts w:hint="eastAsia"/>
          <w:bCs/>
          <w:color w:val="000000"/>
          <w:sz w:val="24"/>
        </w:rPr>
        <w:t>固定电话：</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color w:val="000000"/>
          <w:sz w:val="24"/>
        </w:rPr>
        <w:t>联系</w:t>
      </w:r>
      <w:r>
        <w:rPr>
          <w:rFonts w:hint="eastAsia"/>
          <w:bCs/>
          <w:color w:val="000000"/>
          <w:sz w:val="24"/>
        </w:rPr>
        <w:t>传真：</w:t>
      </w:r>
      <w:r>
        <w:rPr>
          <w:color w:val="000000"/>
          <w:sz w:val="24"/>
          <w:u w:val="single"/>
        </w:rPr>
        <w:t xml:space="preserve">                                                            </w:t>
      </w:r>
    </w:p>
    <w:p>
      <w:pPr>
        <w:wordWrap w:val="0"/>
        <w:spacing w:before="156" w:beforeLines="50" w:after="156" w:afterLines="50" w:line="240" w:lineRule="atLeast"/>
        <w:rPr>
          <w:b/>
          <w:bCs/>
          <w:color w:val="000000"/>
          <w:sz w:val="24"/>
          <w:szCs w:val="40"/>
        </w:rPr>
      </w:pPr>
    </w:p>
    <w:p>
      <w:pPr>
        <w:wordWrap w:val="0"/>
        <w:spacing w:before="156" w:beforeLines="50" w:after="156" w:afterLines="50" w:line="240" w:lineRule="atLeast"/>
        <w:rPr>
          <w:color w:val="000000"/>
          <w:sz w:val="24"/>
          <w:u w:val="single"/>
        </w:rPr>
      </w:pPr>
      <w:r>
        <w:rPr>
          <w:rFonts w:hint="eastAsia"/>
          <w:b/>
          <w:color w:val="000000"/>
          <w:sz w:val="24"/>
        </w:rPr>
        <w:t>乙方</w:t>
      </w:r>
      <w:r>
        <w:rPr>
          <w:rFonts w:hint="eastAsia"/>
          <w:color w:val="000000"/>
          <w:sz w:val="24"/>
        </w:rPr>
        <w:t>：</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注册地址：</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邮政编码：</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通讯地址：</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法定代表人：</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固定电话：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移动电话：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联系传真：</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电子邮箱：</w:t>
      </w:r>
      <w:r>
        <w:rPr>
          <w:color w:val="000000"/>
          <w:sz w:val="24"/>
          <w:u w:val="single"/>
        </w:rPr>
        <w:t xml:space="preserve">                                                            </w:t>
      </w: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签订事由</w:t>
      </w:r>
    </w:p>
    <w:p>
      <w:pPr>
        <w:pStyle w:val="3"/>
        <w:wordWrap w:val="0"/>
        <w:spacing w:before="156" w:beforeLines="50" w:after="156" w:afterLines="50" w:line="240" w:lineRule="atLeast"/>
        <w:outlineLvl w:val="0"/>
        <w:rPr>
          <w:b/>
          <w:color w:val="000000"/>
          <w:sz w:val="24"/>
        </w:rPr>
      </w:pPr>
    </w:p>
    <w:p>
      <w:pPr>
        <w:wordWrap w:val="0"/>
        <w:spacing w:before="156" w:beforeLines="50" w:after="156" w:afterLines="50" w:line="240" w:lineRule="atLeast"/>
        <w:ind w:firstLine="480" w:firstLineChars="200"/>
        <w:rPr>
          <w:sz w:val="24"/>
          <w:szCs w:val="24"/>
        </w:rPr>
      </w:pPr>
      <w:r>
        <w:rPr>
          <w:rFonts w:hint="eastAsia"/>
          <w:sz w:val="24"/>
          <w:szCs w:val="24"/>
        </w:rPr>
        <w:t>鉴于甲方与__________公司（乙方授权的经销商）签署了一系列服务购销合同，乙方知晓并确认，该合同中甲方采购的相关服务为乙方提供的现场服务。</w:t>
      </w:r>
    </w:p>
    <w:p>
      <w:pPr>
        <w:spacing w:before="156" w:beforeLines="50" w:after="156" w:afterLines="50" w:line="240" w:lineRule="exact"/>
        <w:ind w:firstLine="480" w:firstLineChars="200"/>
        <w:rPr>
          <w:sz w:val="24"/>
          <w:szCs w:val="24"/>
        </w:rPr>
      </w:pPr>
      <w:r>
        <w:rPr>
          <w:rFonts w:hint="eastAsia"/>
          <w:color w:val="000000"/>
          <w:sz w:val="24"/>
          <w:szCs w:val="24"/>
        </w:rPr>
        <w:t>为使甲、乙双方拥有的保密信息得到有效保护，双方本着诚实守信的态度和融合共赢的原则，经协商一致，达成如下条款，以资共同遵守。</w:t>
      </w:r>
    </w:p>
    <w:p>
      <w:pPr>
        <w:spacing w:before="156" w:beforeLines="50" w:after="156" w:afterLines="50" w:line="240" w:lineRule="exact"/>
        <w:ind w:firstLine="480" w:firstLineChars="200"/>
        <w:rPr>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定义</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保密信息：指甲方向乙方披露的涉密信息，包括下述任何一项或多项：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其他甲方提供给乙方的信息。</w:t>
      </w:r>
    </w:p>
    <w:p>
      <w:pPr>
        <w:wordWrap w:val="0"/>
        <w:spacing w:before="156" w:beforeLines="50" w:after="156" w:afterLines="50" w:line="240" w:lineRule="atLeast"/>
        <w:ind w:left="1259"/>
        <w:rPr>
          <w:color w:val="000000"/>
          <w:sz w:val="24"/>
          <w:szCs w:val="24"/>
        </w:rPr>
      </w:pPr>
      <w:r>
        <w:rPr>
          <w:rFonts w:hint="eastAsia"/>
          <w:color w:val="000000"/>
          <w:sz w:val="24"/>
          <w:szCs w:val="24"/>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乙方的保密义务</w:t>
      </w:r>
    </w:p>
    <w:p>
      <w:pPr>
        <w:wordWrap w:val="0"/>
        <w:spacing w:before="156" w:beforeLines="50" w:after="156" w:afterLines="50" w:line="240" w:lineRule="atLeast"/>
        <w:rPr>
          <w:color w:val="000000"/>
          <w:sz w:val="24"/>
          <w:szCs w:val="24"/>
        </w:rPr>
      </w:pP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应对从甲方处获知、收到的所有保密信息予以严格保密，确保保密信息不被本协议以外的其他方直接或间接接触、获悉。</w:t>
      </w:r>
      <w:r>
        <w:rPr>
          <w:rFonts w:hint="eastAsia" w:ascii="宋体" w:hAnsi="宋体" w:eastAsia="宋体" w:cs="宋体-18030"/>
          <w:bCs/>
          <w:sz w:val="24"/>
        </w:rPr>
        <w:t>在使用披露方保密信息的过程中以保护自己保密信息同样谨慎的程度来保护甲方保密信息。</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除以下情况外，不得将保密信息用于为满足甲方需求提供服务以外的其他目的，也不得将保密信息再披露给其他第三方：</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确保本条第二款第三项中所提及的雇员和中介机构了解保密信息的涉密性及其对甲方负有保密义务。一旦雇员及中介机构违反本协议所规定的保密义务，应视同于乙方对本协议的违反，并应由乙方承担本协议所约定的违约责任。乙方应仅在为了满足甲方需求所必需的程度范围内，向员工提供访问数据的权限。乙方应确保授权的、有权代表乙方访问被处理的数据的任何员工，都已与乙方签署相应的保密协议，都尊重和保持数据的保密性和安全性。因乙方的任何员工（无论正式员工或例如劳务派遣人员等非正式员工，无论在职或离职）违反本协议的约定，或造成被处理的数据泄露等任何损失的，由乙方向甲方承担全部</w:t>
      </w:r>
      <w:r>
        <w:rPr>
          <w:color w:val="000000"/>
          <w:sz w:val="24"/>
          <w:szCs w:val="24"/>
        </w:rPr>
        <w:t>赔偿</w:t>
      </w:r>
      <w:r>
        <w:rPr>
          <w:rFonts w:hint="eastAsia"/>
          <w:color w:val="000000"/>
          <w:sz w:val="24"/>
          <w:szCs w:val="24"/>
        </w:rPr>
        <w:t>责任。</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满足甲方需求所，不得复制或部分复制甲方提供的保密信息，或以其他方式制作副本、备份等。乙方应采取合适的管理、技术以及物理安全措施，保护数据免遭未经授权访问、泄露、篡改或丢失，并根据数据的不同敏感程度级别采取不同的控制措施，包括但不限于访问权限控制、SSL加密传输、进行加密存储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内部留底并经甲方确认以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的数据保护法律另有规定外，乙方承诺保存甲方使用的系统保存数据仅限于为实现乙甲需求所必需。乙方承诺在处理过程中将数据存储于中华人民共和国境内，根据适用的数据保护法律的规定履行相关法定义务，不会将数据存储于中华人民共和国境外或向任何境外第三方提供，亦不得使任何数据可以从中华人民共和国境外访问或以任何方式为境外主体所获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向乙方提供数据的，除适用的数据保护法律另有规定外，未经甲方书面同意，乙方不得超出为达成甲方需求所必需的范围对数据进行处理，包括但不限于向任何第三方提供或公开披露该等数据。同时，乙方应积极配合甲方，以甲方要求的形式接收、存储和使用甲方提供的数据。</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乙方向甲方提供数据的，乙方应确保所提供数据来源的合法性、真实性、准确性和完整性，涉及个人信息的，已向个人信息主体告知相应事项并取得其单独同意。若乙方向甲方提供的数据来源于第三方，乙方保证已核实并确认第三方向乙方提供数据的行为合法合规，并已取得第三方的许可向甲方提供此类数据，需要向个人信息主体告知相应事项并取得其单独同意的已妥善告知和取得单独同意。</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甲方有权采取有效措施（包括但不限于加密传输、安全隔离、权限管控、监测报警等方式）控制乙方数据处理行为与权限，以防数据滥用或泄露风险。乙方同意并承诺予以配合。</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若甲乙双方协议终止，乙方应对从甲方获取的个人信息立即进行销毁或匿名化处理。若因乙方原因导致信息泄露等任何数据安全事件，就该等事件的发生及因此引发的全部法律后果，乙方应承担全部责任，并及时采取适当的补救措施。乙方将在二十四（24）小时内及时将涉及到数据安全事件的所有的相关信息提供给甲方，该等信息包括但不限于：（1）涉及的数据数量；（2）涉及的数据类型；（3）出现安全事件的原因；（4）可能造成的影响；（5）乙方已经或拟采取的处置措施；（6）甲方要求的其他相关信息。乙方应根据适用的数据保护法律的规定，妥善地将安全事件告知相关受影响方、向主管部门报告和妥善履行其他法定义务。若甲方因此遭受损失的，甲方有权向乙方追偿。</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除适用数据保护的法律另有规定外，乙方应根据个人信息的处理目的、处理方式、个人信息的种类以及对个人权益的影响、可能存在的安全风险等，采取下列措施：</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制定内部管理制度和操作规程；</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对个人信息实行分类管理；</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采取相应的加密、去标识化等安全技术措施；</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合理确定个人信息处理的操作权限，并定期对从业人员进行安全教育和培训；</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制定并组织实施个人信息安全事件应急预案。</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违约责任</w:t>
      </w:r>
    </w:p>
    <w:p>
      <w:pPr>
        <w:wordWrap w:val="0"/>
        <w:spacing w:before="156" w:beforeLines="50" w:after="156" w:afterLines="50" w:line="240" w:lineRule="atLeast"/>
        <w:rPr>
          <w:color w:val="000000"/>
          <w:sz w:val="24"/>
          <w:szCs w:val="24"/>
        </w:rPr>
      </w:pP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一旦乙方违反本协议的约定，甲方有权要求乙方承担下述各项违约责任：</w:t>
      </w:r>
    </w:p>
    <w:p>
      <w:pPr>
        <w:numPr>
          <w:ilvl w:val="0"/>
          <w:numId w:val="9"/>
        </w:numPr>
        <w:wordWrap w:val="0"/>
        <w:spacing w:before="156" w:beforeLines="50" w:after="156" w:afterLines="50" w:line="240" w:lineRule="atLeast"/>
        <w:jc w:val="left"/>
        <w:rPr>
          <w:color w:val="000000"/>
          <w:sz w:val="24"/>
          <w:szCs w:val="24"/>
        </w:rPr>
      </w:pPr>
      <w:r>
        <w:rPr>
          <w:rFonts w:hint="eastAsia"/>
          <w:color w:val="000000"/>
          <w:sz w:val="24"/>
          <w:szCs w:val="24"/>
        </w:rPr>
        <w:t>立即停止违反本协议的行为；</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采取一切有效措施防止保密信息泄露范围继续扩大；</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赔偿因违反本协议而给甲方造成的损失。</w:t>
      </w: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上述本条第一款所规定的责任并不免除乙方依据本协议所适用的法律应当承担的其他责任，也不限制甲方采取其他法律救济措施。</w:t>
      </w: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乙方及乙方人员违反本保密协议的（无论是否造成损失），双方应友好协商解决。如协商无法解决，甲方向法院提出起诉，根据法院相关判决结果执行。</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保密期限</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ascii="宋体" w:hAnsi="宋体"/>
          <w:color w:val="000000"/>
          <w:sz w:val="24"/>
          <w:szCs w:val="24"/>
        </w:rPr>
        <w:t>本协议将在生效日期后的十（10）年后终止；根据本协议披露的</w:t>
      </w:r>
      <w:r>
        <w:rPr>
          <w:rFonts w:hint="eastAsia"/>
          <w:color w:val="000000"/>
          <w:sz w:val="24"/>
          <w:szCs w:val="24"/>
        </w:rPr>
        <w:t>保密</w:t>
      </w:r>
      <w:r>
        <w:rPr>
          <w:rFonts w:hint="eastAsia" w:ascii="宋体" w:hAnsi="宋体"/>
          <w:color w:val="000000"/>
          <w:sz w:val="24"/>
          <w:szCs w:val="24"/>
        </w:rPr>
        <w:t>信息将在最初披露日期后的十（10）年内受本协议的约束。</w:t>
      </w:r>
      <w:bookmarkStart w:id="0" w:name="_GoBack"/>
      <w:bookmarkEnd w:id="0"/>
    </w:p>
    <w:p>
      <w:pPr>
        <w:wordWrap w:val="0"/>
        <w:spacing w:before="156" w:beforeLines="50" w:after="156" w:afterLines="50" w:line="240" w:lineRule="atLeast"/>
        <w:rPr>
          <w:b/>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适用法律及争议解决</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附则</w:t>
      </w:r>
    </w:p>
    <w:p>
      <w:pPr>
        <w:wordWrap w:val="0"/>
        <w:spacing w:before="156" w:beforeLines="50" w:after="156" w:afterLines="50" w:line="240" w:lineRule="atLeast"/>
        <w:rPr>
          <w:color w:val="000000"/>
          <w:sz w:val="24"/>
          <w:szCs w:val="24"/>
        </w:rPr>
      </w:pP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本协议自双方签订之日起生效。</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本协议一式肆份，双方各执贰份。</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与本协议有关的通知事项，均应以书面形式按本协议首页列明的通讯地址（一方另行书面通知对方变更地址的，按新地址）送达对方。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通知以快递方式送出的，则对方签收之日视为送达对方；通知以信函邮寄方式送出的，则信函发出之日起的第三个工作日视为送达对方。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双方提供的联系地址、电子终端（包括传真号码、电子邮箱）将作为本协议项下信息通知及争议解决的送达地址。确认的送达地址适用于包括一审、二审、再审、执行等各个争议解决阶段。</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如果本协议履行过程中送达地址发生变更，乙方应及时告知甲方变更后的地址。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除上述约定外，受诉法院或其他争议解决机构邮寄至送达地址即视为有效送达。如争议解决期间送达地址变更，乙方应及时告知甲方及争议解决机构变更后的地址。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如果提供的送达地址不确切、不及时告知变更后的地址，受送达人本人或受送达人指定的代收人拒绝签收，导致法律文书未能被受送达人实际接收的文书退回之日视为送达之日。</w:t>
      </w:r>
    </w:p>
    <w:p>
      <w:pPr>
        <w:wordWrap w:val="0"/>
        <w:spacing w:before="156" w:beforeLines="50" w:after="156" w:afterLines="50" w:line="240" w:lineRule="atLeast"/>
        <w:jc w:val="left"/>
        <w:rPr>
          <w:color w:val="000000"/>
          <w:sz w:val="24"/>
          <w:szCs w:val="24"/>
        </w:rPr>
      </w:pPr>
    </w:p>
    <w:p>
      <w:pPr>
        <w:wordWrap w:val="0"/>
        <w:spacing w:before="156" w:beforeLines="50" w:after="156" w:afterLines="50" w:line="240" w:lineRule="atLeast"/>
        <w:rPr>
          <w:color w:val="000000"/>
        </w:rPr>
      </w:pPr>
      <w:r>
        <w:rPr>
          <w:sz w:val="24"/>
          <w:szCs w:val="24"/>
        </w:rPr>
        <w:br w:type="page"/>
      </w:r>
      <w:r>
        <w:rPr>
          <w:rFonts w:hint="eastAsia" w:cs="Times"/>
          <w:b/>
          <w:color w:val="000000"/>
          <w:sz w:val="24"/>
        </w:rPr>
        <w:t>（本页为签署页）</w:t>
      </w:r>
    </w:p>
    <w:p>
      <w:pPr>
        <w:wordWrap w:val="0"/>
        <w:spacing w:before="156" w:beforeLines="50" w:after="156" w:afterLines="50" w:line="240" w:lineRule="atLeast"/>
        <w:ind w:firstLine="482" w:firstLineChars="200"/>
        <w:rPr>
          <w:rFonts w:cs="Times"/>
          <w:b/>
          <w:color w:val="000000"/>
          <w:sz w:val="24"/>
          <w:u w:val="single"/>
        </w:rPr>
      </w:pPr>
    </w:p>
    <w:p>
      <w:pPr>
        <w:wordWrap w:val="0"/>
        <w:spacing w:before="156" w:beforeLines="50" w:after="156" w:afterLines="50" w:line="240" w:lineRule="atLeast"/>
        <w:rPr>
          <w:b/>
          <w:color w:val="000000"/>
          <w:sz w:val="24"/>
          <w:u w:val="single"/>
        </w:rPr>
      </w:pPr>
      <w:r>
        <w:rPr>
          <w:rFonts w:hint="eastAsia" w:cs="Times"/>
          <w:b/>
          <w:color w:val="000000"/>
          <w:sz w:val="24"/>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rPr>
      </w:pPr>
    </w:p>
    <w:tbl>
      <w:tblPr>
        <w:tblStyle w:val="6"/>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hint="eastAsia" w:ascii="Calibri" w:hAnsi="Calibri" w:cs="Arial Unicode MS"/>
                <w:color w:val="000000"/>
                <w:sz w:val="24"/>
                <w:szCs w:val="24"/>
              </w:rPr>
              <w:t>甲方：</w:t>
            </w:r>
            <w:r>
              <w:rPr>
                <w:rFonts w:ascii="Calibri" w:hAnsi="Calibri" w:cs="Arial Unicode MS"/>
                <w:color w:val="000000"/>
                <w:sz w:val="24"/>
                <w:szCs w:val="24"/>
              </w:rPr>
              <w:t>（盖章）</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hint="eastAsia" w:ascii="Calibri" w:hAnsi="Calibri" w:cs="Arial Unicode MS"/>
                <w:color w:val="000000"/>
                <w:sz w:val="24"/>
                <w:szCs w:val="24"/>
              </w:rPr>
              <w:t>乙方：（</w:t>
            </w:r>
            <w:r>
              <w:rPr>
                <w:rFonts w:ascii="Calibri" w:hAnsi="Calibri"/>
                <w:color w:val="000000"/>
                <w:sz w:val="24"/>
                <w:szCs w:val="24"/>
              </w:rPr>
              <w:t>盖</w:t>
            </w:r>
            <w:r>
              <w:rPr>
                <w:rFonts w:ascii="Calibri" w:hAnsi="Calibri"/>
                <w:color w:val="000000"/>
                <w:spacing w:val="-37"/>
                <w:sz w:val="24"/>
                <w:szCs w:val="24"/>
              </w:rPr>
              <w:t>章</w:t>
            </w:r>
            <w:r>
              <w:rPr>
                <w:rFonts w:ascii="Calibri" w:hAnsi="Calibri"/>
                <w:color w:val="000000"/>
                <w:sz w:val="24"/>
                <w:szCs w:val="24"/>
              </w:rPr>
              <w:t>）</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trHeight w:val="72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法定代表人（负责人）或委托代理人</w:t>
            </w: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ascii="Calibri" w:hAnsi="Calibri"/>
                <w:color w:val="000000"/>
                <w:sz w:val="24"/>
                <w:szCs w:val="24"/>
              </w:rPr>
              <w:t>法定代表人或委托代理人</w:t>
            </w:r>
          </w:p>
          <w:p>
            <w:pPr>
              <w:pStyle w:val="3"/>
              <w:tabs>
                <w:tab w:val="left" w:pos="5480"/>
              </w:tabs>
              <w:spacing w:before="156" w:beforeLines="50" w:after="156" w:afterLines="50" w:line="240" w:lineRule="atLeast"/>
              <w:ind w:left="187"/>
              <w:rPr>
                <w:rFonts w:ascii="Calibri" w:hAnsi="Calibri"/>
                <w:color w:val="000000"/>
                <w:sz w:val="24"/>
                <w:szCs w:val="24"/>
              </w:rPr>
            </w:pPr>
          </w:p>
          <w:p>
            <w:pPr>
              <w:spacing w:before="156" w:beforeLines="50" w:after="156" w:afterLines="50" w:line="240" w:lineRule="atLeast"/>
              <w:rPr>
                <w:rFonts w:ascii="Calibri" w:hAnsi="Calibri" w:cs="Arial Unicode MS"/>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（签字或盖章）</w:t>
            </w:r>
          </w:p>
        </w:tc>
        <w:tc>
          <w:tcPr>
            <w:tcW w:w="4261" w:type="dxa"/>
            <w:gridSpan w:val="2"/>
          </w:tcPr>
          <w:p>
            <w:pPr>
              <w:pStyle w:val="3"/>
              <w:tabs>
                <w:tab w:val="left" w:pos="5396"/>
              </w:tabs>
              <w:spacing w:before="156" w:beforeLines="50" w:after="156" w:afterLines="50" w:line="240" w:lineRule="atLeast"/>
              <w:ind w:left="103"/>
              <w:rPr>
                <w:rFonts w:ascii="Calibri" w:hAnsi="Calibri"/>
                <w:color w:val="000000"/>
                <w:sz w:val="24"/>
                <w:szCs w:val="24"/>
              </w:rPr>
            </w:pPr>
            <w:r>
              <w:rPr>
                <w:rFonts w:ascii="Calibri" w:hAnsi="Calibri"/>
                <w:color w:val="000000"/>
                <w:spacing w:val="-37"/>
                <w:sz w:val="24"/>
                <w:szCs w:val="24"/>
              </w:rPr>
              <w:t>（</w:t>
            </w:r>
            <w:r>
              <w:rPr>
                <w:rFonts w:ascii="Calibri" w:hAnsi="Calibri"/>
                <w:color w:val="000000"/>
                <w:sz w:val="24"/>
                <w:szCs w:val="24"/>
              </w:rPr>
              <w:t>签字或盖</w:t>
            </w:r>
            <w:r>
              <w:rPr>
                <w:rFonts w:ascii="Calibri" w:hAnsi="Calibri"/>
                <w:color w:val="000000"/>
                <w:spacing w:val="-37"/>
                <w:sz w:val="24"/>
                <w:szCs w:val="24"/>
              </w:rPr>
              <w:t>章</w:t>
            </w:r>
            <w:r>
              <w:rPr>
                <w:rFonts w:ascii="Calibri" w:hAnsi="Calibri"/>
                <w:color w:val="000000"/>
                <w:sz w:val="24"/>
                <w:szCs w:val="24"/>
              </w:rPr>
              <w:t>）</w:t>
            </w:r>
          </w:p>
          <w:p>
            <w:pPr>
              <w:spacing w:before="156" w:beforeLines="50" w:after="156" w:afterLines="50" w:line="240" w:lineRule="atLeast"/>
              <w:rPr>
                <w:rFonts w:ascii="Calibri" w:hAnsi="Calibri"/>
                <w:color w:val="000000"/>
                <w:sz w:val="24"/>
                <w:szCs w:val="24"/>
              </w:rPr>
            </w:pPr>
          </w:p>
          <w:p>
            <w:pPr>
              <w:spacing w:before="156" w:beforeLines="50" w:after="156" w:afterLines="50" w:line="240" w:lineRule="atLeast"/>
              <w:rPr>
                <w:rFonts w:ascii="Calibri" w:hAnsi="Calibri"/>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396"/>
              </w:tabs>
              <w:spacing w:before="156" w:beforeLines="50" w:after="156" w:afterLines="50" w:line="240" w:lineRule="atLeast"/>
              <w:ind w:left="103"/>
              <w:rPr>
                <w:rFonts w:ascii="Calibri" w:hAnsi="Calibri"/>
                <w:color w:val="000000"/>
                <w:spacing w:val="-37"/>
                <w:sz w:val="24"/>
                <w:szCs w:val="24"/>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签约日期</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r>
              <w:rPr>
                <w:rFonts w:hint="eastAsia" w:cs="Arial Unicode MS"/>
                <w:color w:val="000000"/>
                <w:kern w:val="0"/>
                <w:sz w:val="24"/>
              </w:rPr>
              <w:t>年</w:t>
            </w:r>
            <w:r>
              <w:rPr>
                <w:rFonts w:cs="Arial Unicode MS"/>
                <w:color w:val="000000"/>
                <w:kern w:val="0"/>
                <w:sz w:val="24"/>
                <w:u w:val="single"/>
              </w:rPr>
              <w:t xml:space="preserve">    </w:t>
            </w:r>
            <w:r>
              <w:rPr>
                <w:rFonts w:hint="eastAsia" w:cs="Arial Unicode MS"/>
                <w:color w:val="000000"/>
                <w:kern w:val="0"/>
                <w:sz w:val="24"/>
              </w:rPr>
              <w:t>月</w:t>
            </w:r>
            <w:r>
              <w:rPr>
                <w:rFonts w:cs="Arial Unicode MS"/>
                <w:color w:val="000000"/>
                <w:kern w:val="0"/>
                <w:sz w:val="24"/>
                <w:u w:val="single"/>
              </w:rPr>
              <w:t xml:space="preserve">    </w:t>
            </w:r>
            <w:r>
              <w:rPr>
                <w:rFonts w:hint="eastAsia" w:cs="Arial Unicode MS"/>
                <w:color w:val="000000"/>
                <w:kern w:val="0"/>
                <w:sz w:val="24"/>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签约地点</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p>
        </w:tc>
      </w:tr>
    </w:tbl>
    <w:p>
      <w:pPr>
        <w:pStyle w:val="9"/>
        <w:ind w:firstLine="0" w:firstLineChars="0"/>
        <w:rPr>
          <w:sz w:val="24"/>
          <w:szCs w:val="24"/>
        </w:rPr>
      </w:pPr>
    </w:p>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auto"/>
    <w:pitch w:val="default"/>
    <w:sig w:usb0="00000000" w:usb1="00000000" w:usb2="00000000" w:usb3="00000000" w:csb0="0000019F" w:csb1="00000000"/>
  </w:font>
  <w:font w:name="Arial Unicode MS">
    <w:altName w:val="Arial"/>
    <w:panose1 w:val="020B0604020202020204"/>
    <w:charset w:val="80"/>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25E09EB"/>
    <w:multiLevelType w:val="singleLevel"/>
    <w:tmpl w:val="725E09EB"/>
    <w:lvl w:ilvl="0" w:tentative="0">
      <w:start w:val="1"/>
      <w:numFmt w:val="decimal"/>
      <w:suff w:val="nothing"/>
      <w:lvlText w:val="（%1）"/>
      <w:lvlJc w:val="left"/>
    </w:lvl>
  </w:abstractNum>
  <w:abstractNum w:abstractNumId="6">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9">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1"/>
  </w:num>
  <w:num w:numId="4">
    <w:abstractNumId w:val="2"/>
  </w:num>
  <w:num w:numId="5">
    <w:abstractNumId w:val="7"/>
  </w:num>
  <w:num w:numId="6">
    <w:abstractNumId w:val="4"/>
  </w:num>
  <w:num w:numId="7">
    <w:abstractNumId w:val="5"/>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hideSpellingErrors/>
  <w:hideGrammaticalErrors/>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20B"/>
    <w:rsid w:val="0004014A"/>
    <w:rsid w:val="00060BCD"/>
    <w:rsid w:val="000A615D"/>
    <w:rsid w:val="001E1EB2"/>
    <w:rsid w:val="003B743F"/>
    <w:rsid w:val="0043220B"/>
    <w:rsid w:val="00792C99"/>
    <w:rsid w:val="00893DA4"/>
    <w:rsid w:val="00A833C1"/>
    <w:rsid w:val="00C46EE9"/>
    <w:rsid w:val="00E5684F"/>
    <w:rsid w:val="00EC52F1"/>
    <w:rsid w:val="00F216CE"/>
    <w:rsid w:val="010E6F6D"/>
    <w:rsid w:val="01F940AF"/>
    <w:rsid w:val="048C75CC"/>
    <w:rsid w:val="06BA0EFC"/>
    <w:rsid w:val="073D77C1"/>
    <w:rsid w:val="08B00C5E"/>
    <w:rsid w:val="0B295A5C"/>
    <w:rsid w:val="0BA41920"/>
    <w:rsid w:val="0DAD4E1B"/>
    <w:rsid w:val="0F6A5320"/>
    <w:rsid w:val="0FDF3CFA"/>
    <w:rsid w:val="131706AB"/>
    <w:rsid w:val="14743304"/>
    <w:rsid w:val="16B87D87"/>
    <w:rsid w:val="1A08088F"/>
    <w:rsid w:val="1A9234A5"/>
    <w:rsid w:val="1BDB2F76"/>
    <w:rsid w:val="1E5114C8"/>
    <w:rsid w:val="1F4653D1"/>
    <w:rsid w:val="2127126A"/>
    <w:rsid w:val="212C5EC4"/>
    <w:rsid w:val="229E0D7F"/>
    <w:rsid w:val="24175B02"/>
    <w:rsid w:val="272223EF"/>
    <w:rsid w:val="27A06A74"/>
    <w:rsid w:val="281F541F"/>
    <w:rsid w:val="31A9545B"/>
    <w:rsid w:val="35395E57"/>
    <w:rsid w:val="37040377"/>
    <w:rsid w:val="392D115F"/>
    <w:rsid w:val="39EF6C50"/>
    <w:rsid w:val="3A0C7FF8"/>
    <w:rsid w:val="3A4849AC"/>
    <w:rsid w:val="3B6D478E"/>
    <w:rsid w:val="3C216D12"/>
    <w:rsid w:val="3E38552C"/>
    <w:rsid w:val="3F53748E"/>
    <w:rsid w:val="402A18E6"/>
    <w:rsid w:val="40757A4F"/>
    <w:rsid w:val="40D81CF2"/>
    <w:rsid w:val="427B2AA6"/>
    <w:rsid w:val="4297287E"/>
    <w:rsid w:val="42B43A4F"/>
    <w:rsid w:val="44741D52"/>
    <w:rsid w:val="45636EB9"/>
    <w:rsid w:val="45D44F12"/>
    <w:rsid w:val="46FC5AC8"/>
    <w:rsid w:val="4A03697C"/>
    <w:rsid w:val="4A524C36"/>
    <w:rsid w:val="4A881B74"/>
    <w:rsid w:val="4B4B7977"/>
    <w:rsid w:val="4D697E6A"/>
    <w:rsid w:val="4F342A81"/>
    <w:rsid w:val="52E83006"/>
    <w:rsid w:val="54F70673"/>
    <w:rsid w:val="566E76BD"/>
    <w:rsid w:val="60673FB8"/>
    <w:rsid w:val="60F638AA"/>
    <w:rsid w:val="61980563"/>
    <w:rsid w:val="625C6E79"/>
    <w:rsid w:val="64AC6A28"/>
    <w:rsid w:val="664E4816"/>
    <w:rsid w:val="66D97063"/>
    <w:rsid w:val="67E3597E"/>
    <w:rsid w:val="6A366674"/>
    <w:rsid w:val="6BCF06AF"/>
    <w:rsid w:val="6C8E0CCD"/>
    <w:rsid w:val="6CEA79AA"/>
    <w:rsid w:val="6D2F0E21"/>
    <w:rsid w:val="6D4E18E3"/>
    <w:rsid w:val="71633B87"/>
    <w:rsid w:val="75933E40"/>
    <w:rsid w:val="78894495"/>
    <w:rsid w:val="7C3C6A63"/>
    <w:rsid w:val="7C527DF6"/>
    <w:rsid w:val="7D5842FD"/>
    <w:rsid w:val="7D893F6F"/>
    <w:rsid w:val="7EAB7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annotation reference"/>
    <w:basedOn w:val="7"/>
    <w:qFormat/>
    <w:uiPriority w:val="0"/>
    <w:rPr>
      <w:sz w:val="16"/>
      <w:szCs w:val="16"/>
    </w:rPr>
  </w:style>
  <w:style w:type="paragraph" w:customStyle="1" w:styleId="9">
    <w:name w:val="列表段落1"/>
    <w:basedOn w:val="1"/>
    <w:qFormat/>
    <w:uiPriority w:val="34"/>
    <w:pPr>
      <w:ind w:firstLine="420" w:firstLineChars="200"/>
    </w:pPr>
  </w:style>
  <w:style w:type="paragraph" w:customStyle="1" w:styleId="10">
    <w:name w:val="Revision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1">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779</Words>
  <Characters>4445</Characters>
  <Lines>37</Lines>
  <Paragraphs>10</Paragraphs>
  <TotalTime>5</TotalTime>
  <ScaleCrop>false</ScaleCrop>
  <LinksUpToDate>false</LinksUpToDate>
  <CharactersWithSpaces>5214</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2024-04-08T02:37:00Z</dcterms:created>
  <dc:creator>SRCB</dc:creator>
  <cp:lastModifiedBy>俞</cp:lastModifiedBy>
  <dcterms:modified xsi:type="dcterms:W3CDTF">2024-04-19T06:23:33Z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0FBA16183ADE4885B2E4D76E8AED6CA1</vt:lpwstr>
  </property>
</Properties>
</file>